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F8E79">
      <w:pPr>
        <w:rPr>
          <w:rFonts w:hint="eastAsia" w:ascii="宋体" w:hAnsi="宋体" w:eastAsia="宋体" w:cs="宋体"/>
        </w:rPr>
      </w:pPr>
      <w:bookmarkStart w:id="0" w:name="heading_9"/>
    </w:p>
    <w:p w14:paraId="7611C49B">
      <w:pPr>
        <w:rPr>
          <w:rFonts w:hint="eastAsia" w:ascii="宋体" w:hAnsi="宋体" w:eastAsia="宋体" w:cs="宋体"/>
        </w:rPr>
      </w:pPr>
    </w:p>
    <w:p w14:paraId="1C2A5C80">
      <w:pPr>
        <w:jc w:val="right"/>
        <w:rPr>
          <w:rStyle w:val="8"/>
          <w:rFonts w:hint="eastAsia" w:ascii="微软雅黑" w:hAnsi="微软雅黑" w:eastAsia="微软雅黑" w:cs="微软雅黑"/>
          <w:b/>
          <w:bCs w:val="0"/>
          <w:sz w:val="52"/>
          <w:szCs w:val="52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-1163955</wp:posOffset>
            </wp:positionH>
            <wp:positionV relativeFrom="page">
              <wp:posOffset>-8255</wp:posOffset>
            </wp:positionV>
            <wp:extent cx="1874520" cy="3298190"/>
            <wp:effectExtent l="0" t="0" r="11430" b="16510"/>
            <wp:wrapNone/>
            <wp:docPr id="6" name="图片 6" descr="阳途Word文档页眉页脚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阳途Word文档页眉页脚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8"/>
          <w:rFonts w:hint="eastAsia" w:ascii="微软雅黑" w:hAnsi="微软雅黑" w:eastAsia="微软雅黑" w:cs="微软雅黑"/>
          <w:b/>
          <w:bCs w:val="0"/>
          <w:sz w:val="52"/>
          <w:szCs w:val="52"/>
          <w:lang w:eastAsia="zh-CN"/>
        </w:rPr>
        <w:t>阳途终端安全管理系统</w:t>
      </w:r>
    </w:p>
    <w:p w14:paraId="21C1E1D2">
      <w:pPr>
        <w:jc w:val="right"/>
        <w:rPr>
          <w:rStyle w:val="8"/>
          <w:rFonts w:hint="eastAsia" w:ascii="微软雅黑" w:hAnsi="微软雅黑" w:eastAsia="微软雅黑" w:cs="微软雅黑"/>
          <w:b/>
          <w:bCs w:val="0"/>
          <w:sz w:val="52"/>
          <w:szCs w:val="52"/>
          <w:lang w:val="en-US" w:eastAsia="zh-CN"/>
        </w:rPr>
      </w:pPr>
      <w:r>
        <w:rPr>
          <w:rStyle w:val="8"/>
          <w:rFonts w:hint="eastAsia" w:ascii="微软雅黑" w:hAnsi="微软雅黑" w:eastAsia="微软雅黑" w:cs="微软雅黑"/>
          <w:b/>
          <w:bCs w:val="0"/>
          <w:sz w:val="52"/>
          <w:szCs w:val="52"/>
          <w:lang w:val="en-US" w:eastAsia="zh-CN"/>
        </w:rPr>
        <w:t>产品结构设计</w:t>
      </w:r>
    </w:p>
    <w:p w14:paraId="3D0D8E64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sz w:val="84"/>
          <w:szCs w:val="84"/>
        </w:rPr>
      </w:pPr>
    </w:p>
    <w:p w14:paraId="249BA7E7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p w14:paraId="17D6A961">
      <w:pPr>
        <w:wordWrap/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p w14:paraId="63241AAF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06271C1F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  <w:lang w:eastAsia="zh-CN"/>
        </w:rPr>
      </w:pPr>
    </w:p>
    <w:p w14:paraId="2AFC636B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  <w:r>
        <w:rPr>
          <w:rFonts w:hint="eastAsia" w:eastAsia="微软雅黑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2320290</wp:posOffset>
            </wp:positionH>
            <wp:positionV relativeFrom="page">
              <wp:posOffset>4283075</wp:posOffset>
            </wp:positionV>
            <wp:extent cx="985520" cy="1651635"/>
            <wp:effectExtent l="0" t="0" r="5080" b="5715"/>
            <wp:wrapNone/>
            <wp:docPr id="7" name="图片 7" descr="阳途Word文档页眉页脚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阳途Word文档页眉页脚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C9B6F4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7159E08C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7EB670D5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61AD21CD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7B534856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6CA2715E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3A2BAF1C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2CAEE100">
      <w:pPr>
        <w:spacing w:line="400" w:lineRule="exact"/>
        <w:jc w:val="both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20F9276B">
      <w:pPr>
        <w:spacing w:line="400" w:lineRule="exact"/>
        <w:jc w:val="both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5A6DAA9F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78492C09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2BD9DBFC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3892D27C">
      <w:pPr>
        <w:spacing w:line="400" w:lineRule="exact"/>
        <w:jc w:val="both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2DDE5401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</w:pP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南京市中华路420号省科创中心</w:t>
      </w: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eastAsia="zh-CN"/>
        </w:rPr>
        <w:t>六</w:t>
      </w: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层</w:t>
      </w:r>
    </w:p>
    <w:p w14:paraId="5230062A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val="en-US" w:eastAsia="zh-CN"/>
        </w:rPr>
      </w:pP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销售热线：400-</w:t>
      </w:r>
      <w:r>
        <w:rPr>
          <w:rStyle w:val="9"/>
          <w:rFonts w:hint="eastAsia" w:ascii="微软雅黑" w:hAnsi="微软雅黑" w:cs="微软雅黑"/>
          <w:b/>
          <w:bCs/>
          <w:color w:val="000000"/>
          <w:sz w:val="24"/>
          <w:szCs w:val="24"/>
          <w:lang w:val="en-US" w:eastAsia="zh-CN"/>
        </w:rPr>
        <w:t>015</w:t>
      </w: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-</w:t>
      </w:r>
      <w:r>
        <w:rPr>
          <w:rStyle w:val="9"/>
          <w:rFonts w:hint="eastAsia" w:ascii="微软雅黑" w:hAnsi="微软雅黑" w:cs="微软雅黑"/>
          <w:b/>
          <w:bCs/>
          <w:color w:val="000000"/>
          <w:sz w:val="24"/>
          <w:szCs w:val="24"/>
          <w:lang w:val="en-US" w:eastAsia="zh-CN"/>
        </w:rPr>
        <w:t>3680</w:t>
      </w:r>
    </w:p>
    <w:p w14:paraId="2C87F22D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val="en-US" w:eastAsia="zh-CN"/>
        </w:rPr>
      </w:pP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服务热线：400-</w:t>
      </w:r>
      <w:r>
        <w:rPr>
          <w:rStyle w:val="9"/>
          <w:rFonts w:hint="eastAsia" w:ascii="微软雅黑" w:hAnsi="微软雅黑" w:cs="微软雅黑"/>
          <w:b/>
          <w:bCs/>
          <w:color w:val="000000"/>
          <w:sz w:val="24"/>
          <w:szCs w:val="24"/>
          <w:lang w:val="en-US" w:eastAsia="zh-CN"/>
        </w:rPr>
        <w:t>015</w:t>
      </w: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-</w:t>
      </w:r>
      <w:r>
        <w:rPr>
          <w:rStyle w:val="9"/>
          <w:rFonts w:hint="eastAsia" w:ascii="微软雅黑" w:hAnsi="微软雅黑" w:cs="微软雅黑"/>
          <w:b/>
          <w:bCs/>
          <w:color w:val="000000"/>
          <w:sz w:val="24"/>
          <w:szCs w:val="24"/>
          <w:lang w:val="en-US" w:eastAsia="zh-CN"/>
        </w:rPr>
        <w:t>3680</w:t>
      </w:r>
    </w:p>
    <w:p w14:paraId="25EA0345">
      <w:pPr>
        <w:spacing w:line="400" w:lineRule="exact"/>
        <w:jc w:val="right"/>
        <w:rPr>
          <w:rFonts w:hint="eastAsia" w:eastAsia="宋体"/>
          <w:b/>
          <w:bCs/>
          <w:color w:val="7E7E7E"/>
          <w:lang w:eastAsia="zh-CN"/>
        </w:rPr>
      </w:pP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http: //www.yangtusoft.</w:t>
      </w:r>
      <w:r>
        <w:rPr>
          <w:rStyle w:val="9"/>
          <w:rFonts w:hint="eastAsia" w:ascii="微软雅黑" w:hAnsi="微软雅黑" w:cs="微软雅黑"/>
          <w:b/>
          <w:bCs/>
          <w:color w:val="000000"/>
          <w:sz w:val="24"/>
          <w:szCs w:val="24"/>
          <w:lang w:val="en-US" w:eastAsia="zh-CN"/>
        </w:rPr>
        <w:t>cn</w:t>
      </w:r>
      <w:r>
        <w:rPr>
          <w:rFonts w:hint="eastAsia" w:eastAsia="宋体"/>
          <w:b/>
          <w:bCs/>
          <w:color w:val="7E7E7E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3905250</wp:posOffset>
            </wp:positionH>
            <wp:positionV relativeFrom="page">
              <wp:posOffset>7512685</wp:posOffset>
            </wp:positionV>
            <wp:extent cx="2541905" cy="3246120"/>
            <wp:effectExtent l="0" t="0" r="10795" b="11430"/>
            <wp:wrapNone/>
            <wp:docPr id="5" name="图片 8" descr="C:\Users\佐智\Desktop\阳途Word文档页眉页脚3.png阳途Word文档页眉页脚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C:\Users\佐智\Desktop\阳途Word文档页眉页脚3.png阳途Word文档页眉页脚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6CFB44">
      <w:pPr>
        <w:spacing w:line="400" w:lineRule="exact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bookmarkEnd w:id="0"/>
    <w:p w14:paraId="336976E4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方案为阳途终端安全管理硬件平台专属结构设计技术白皮书，基于行业高标准设备设计规范、机房设备运行准则、终端安全设备长期运行工况编制，全面覆盖产品材质工艺、整体结构创新、模块化架构体系、设备可维护性设计、物理安全防护设计、电磁兼容优化设计、人性化交互体验设计七大核心维度。方案立足设备长期稳定运行、复杂场景适配、低运维成本、高安全等级、高兼容适配的核心设计目标，从硬件物理结构、内部布局、散热体系、防护体系、软件架构协同等多维度进行深度设计，可完整展现产品结构设计的科学性、先进性、可靠性与实用性，为各类行业用户提供权威的产品结构技术参考。</w:t>
      </w:r>
    </w:p>
    <w:p w14:paraId="25C009EF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一、产品整体设计理念与行业适配定位</w:t>
      </w:r>
    </w:p>
    <w:p w14:paraId="08E8F4E2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随着国内数字化转型全面深化，政企、医疗、教育、工业等行业终端设备数量呈爆发式增长，终端类型愈发繁杂，从传统办公电脑延伸至国产信创终端、工业控制终端、医疗专用设备终端、自助服务终端、移动查房车、云桌面终端等数十类设备。与此同时，行业网络环境日趋复杂，多网段隔离、内外网交叉、多层网关部署、VPN远程接入等组网模式普及，传统终端管控硬件设备普遍存在结构设计落后、散热能力不足、抗干扰能力弱、运维繁琐、扩容性差、适配场景单一等诸多问题。大量通用服务器改装的管控设备，存在软硬件适配度低、结构冗余、积热严重、静电干扰、接口易损、长期运行故障率高等通病，严重影响全网终端安全管控的连续性与稳定性，无法满足行业高等级、长周期、零中断的运维需求。</w:t>
      </w:r>
    </w:p>
    <w:p w14:paraId="2EDED992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基于全行业普遍痛点，阳途终端安全管</w:t>
      </w:r>
      <w:bookmarkStart w:id="1" w:name="_GoBack"/>
      <w:bookmarkEnd w:id="1"/>
      <w:r>
        <w:rPr>
          <w:rFonts w:hint="eastAsia" w:ascii="宋体" w:hAnsi="宋体" w:eastAsia="宋体" w:cs="宋体"/>
          <w:sz w:val="24"/>
          <w:szCs w:val="24"/>
        </w:rPr>
        <w:t>理硬件平台确立了“稳定优先、安全为本、极简运维、长效耐用、全场景适配、可持续迭代”的六大核心设计理念，摒弃传统网络设备重参数、轻结构，重性能、轻稳定，重功能、轻运维的片面设计思路，以“长期商用级可靠性”为核心设计基准，全方位平衡设备性能、稳定性、安全性、可维护性、拓展性与适配性。本产品不追求极致硬件参数堆叠，而是聚焦终端安全管控专属业务场景，针对性优化物理结构、内部布局、散热体系、防护体系与架构逻辑，实现硬件结构与软件系统的深度绑定、专属适配、双向优化，彻底解决通用设备“参数高、实战差、短期稳、长期崩”的行业通病。</w:t>
      </w:r>
    </w:p>
    <w:p w14:paraId="6318452C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产品定位层面，本硬件平台为终端安全运维专属一体化硬件设备，并非通用计算机、通用服务器改装产品，所有结构设计、工艺标准、布局逻辑均围绕“大规模终端并发管控、7×24小时不间断运行、低运维干预、高安全防护、复杂环境适配”五大核心商用场景定制研发。设备整体适配标准化机柜高密度部署、无人值守机房长期运行、多设备密集电磁复杂环境、政企严格合规场景、医疗精密设备共存场景、工业高低温复杂场景，真正实现一台设备适配全行业终端安全管控需求，具备极强的通用性、兼容性与落地实用性。</w:t>
      </w:r>
    </w:p>
    <w:p w14:paraId="05BB2C91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二、材料选型科学依据与精密制造工艺体系</w:t>
      </w:r>
    </w:p>
    <w:p w14:paraId="1D2D48B6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硬件设备的材料品质与制造工艺，直接决定设备的结构稳定性、使用寿命、环境适配能力与长期运行可靠性。市面多数低端管控设备采用普通薄铁皮、回收钣金材质，工艺简化、无防护处理，使用1-2年即出现生锈、变形、掉漆、静电积累、接口氧化等问题，极易引发设备宕机、网络中断、管控失效等安全故障。阳途终端安全管理硬件平台秉持“长效耐用、极致可靠”的选材原则，所有核心结构材质、防护工艺、接口配件均按照工业级商用标准选型，全流程精细化制造，从源头杜绝结构老化、环境干扰、物理损耗等问题。</w:t>
      </w:r>
    </w:p>
    <w:p w14:paraId="4E2FB6DC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整机外壳、内部承重支架、设备固定框架、风道隔板等核心结构件，全部采用国标高硬度工业级冷轧钢板一体冲压锻造成型，钢板厚度远超行业普通设备标准。该材质具备超高结构强度、抗压形变能力、抗冲击能力、耐磨损、抗老化、防腐蚀等综合优势，相较于普通钣金材质，拉伸强度、抗压强度、抗形变性能提升100%以上，可长期抵御机柜挤压、设备堆叠承重、柜门开关震动、机房轻微外力撞击、设备长期自重承压等各类物理外力影响，设备整体结构终身无变形、松动、破损隐患。经过原厂实测验证，在标准机房环境下，设备可稳定连续运行6年以上无任何结构老化问题，整机物理使用寿命远超行业同类产品。</w:t>
      </w:r>
    </w:p>
    <w:p w14:paraId="6CB7A2E2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适配机房潮湿、多尘、静电富集、轻微酸碱腐蚀的复杂环境，设备整机表面采用五道精密工业级防护工艺闭环处理体系，全流程无遗漏、无简化，彻底解决传统设备易生锈、易氧化、易静电干扰的缺陷。第一道脱脂酸洗工艺，彻底清除钢板表面油污、锈迹、杂质，为后续防护工艺奠定基础；第二道静电防锈喷涂工艺，采用高端静电吸附喷涂技术，漆面均匀附着、无死角、无脱落，形成高强度防锈底层；第三道防静电镀膜工艺，在设备表面形成致密防静电薄膜，杜绝机房静电积累、静电放电干扰设备芯片运行；第四道抗氧化固化工艺，高温固化漆面结构，提升设备表面硬度与抗氧化能力；第五道防腐蚀封层工艺，封闭材质微孔，隔绝潮湿空气、粉尘、酸碱介质侵蚀。经过五道工艺处理后的设备机身，表面光滑平整、无毛刺、无瑕疵，可长期抵御机房潮湿积水、粉尘堆积、静电击穿、轻微腐蚀等环境风险，全方位保障设备外观与内部结构长期完好。</w:t>
      </w:r>
    </w:p>
    <w:p w14:paraId="2624A0D9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设备所有外接接口、接线端子、网络接口底座、电源接口模块、拓展插槽卡扣，全部采用军工级加固合金材质，区别于普通塑料、普通铁质接口，具备防氧化、防生锈、防松动、耐插拔、抗拉扯、抗冲击等特性。所有接口统一配备金属加固固定底座、防脱落锁紧卡扣、原厂防尘防水绝缘胶塞，形成“物理加固+密封防护”双重保障。针对机房线路长期拉扯、频繁插拔调试、粉尘堆积堵塞、潮湿氧化等场景，可有效杜绝接口接触不良、网络信号中断、接口短路漏电、数据传输异常等故障，极大提升设备接口稳定性与耐用性，彻底解决传统设备接口易损、易坏、易失效的高频问题。</w:t>
      </w:r>
    </w:p>
    <w:p w14:paraId="2E565E91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散热结构作为设备稳定运行的核心关键，采用一体化前进后出直通风道工艺，风道整体一体冲压成型、无拼接缝隙、无结构死角，风道路径笔直通畅、风阻极低、风量均匀、散热效率极高。风道结构精准对应CPU、主控芯片、内存颗粒、网口交换芯片、存储硬盘等核心发热硬件，可快速、均匀、持续带走设备运行产生的高温热量，杜绝局部积热、高温降频、过热死机、硬件加速老化等问题。同时风道设计具备自主防尘能力，配合机身防尘网结构，可在保障散热效率的同时，阻隔大颗粒粉尘进入设备内部，减少内部积灰，降低设备清洁运维频次，适配长期无人值守运行场景。在设备满载7×24小时持续运行工况下，设备内部温度可稳定控制在安全区间，硬件运行性能无衰减、无波动。</w:t>
      </w:r>
    </w:p>
    <w:p w14:paraId="418560ED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三、创新整体结构布局与空间优化设计</w:t>
      </w:r>
    </w:p>
    <w:p w14:paraId="2A0A6241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针对传统管控设备体积臃肿、机柜占用空间大、内部布局混乱、模块串扰、热量互通、信号干扰严重的行业痛点，本产品采用1U超薄机架式集约化创新结构设计，严格遵循国家标准化机柜安装规范，机身轻薄紧凑、集成度极高、空间利用率极致优化。相较于市面主流2U、4U终端安全管控设备，本产品可节省70%以上的机柜竖向空间，极大释放机房机柜资源，助力政企机房实现设备集约化、规整化、轻量化、标准化建设，适配高密度机柜部署、多设备集中堆叠部署、小型机房紧凑部署等各类场景。设备支持标准滑轨安装、固定挂耳安装两种主流部署方式，兼容国内外所有品牌标准化机柜，部署灵活、适配性广、安装便捷。</w:t>
      </w:r>
    </w:p>
    <w:p w14:paraId="3EBCAEA4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内部结构布局层面，本产品颠覆传统设备混杂式布局模式，创新采用五分区物理隔离独立布局体系，将设备内部空间精准划分为算力运算区、网络传输区、供电稳压区、风道散热区、数据存储区五大完全独立的物理区域，各区域之间通过金属屏蔽隔板完全隔离，实现物理空间独立、热量独立、信号独立、电路独立、运行独立。算力运算区集中布置CPU、内存、主控核心芯片，集中释放运算性能，保障终端并发管控、智能分析、数据运算的高效稳定；网络传输区独立布置千兆网口芯片、交换模块、传输电路，隔绝其他模块电磁干扰，保障全网数据传输纯净、稳定、低延迟；供电稳压区独立布置电源模块、稳压电路、滤波组件，有效规避电压波动、电流杂波对核心运算芯片、传输芯片的干扰；风道散热区独立贯通整机，为各分区提供专属散热通道，杜绝热量串扰堆积；数据存储区独立布置硬盘、存储控制模块，保障数据读写稳定、存储安全。</w:t>
      </w:r>
    </w:p>
    <w:p w14:paraId="56904F5B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该物理分区隔离设计从物理底层彻底解决传统设备内部模块混杂、热量串扰、电磁互扰、性能冲突、运行不稳定等核心问题，让每一个功能模块都在独立、纯净、稳定的环境中运行，大幅提升设备整体运行稳定性、数据传输精度与硬件使用寿命。经过实测，采用五分区隔离结构的设备，电磁干扰故障率、高温宕机率、性能波动故障率较传统混杂布局设备下降95%以上，长期运行可靠性大幅提升。</w:t>
      </w:r>
    </w:p>
    <w:p w14:paraId="0C20A233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进一步提升设备整洁度、安全性与运维便捷性，设备内部采用标准化规整布线结构，原厂预设专属密封线槽、高强度固定线卡、定位卡扣，所有电源线、信号数据线、地线、弱电线路全部分类排布、分区收纳、定点锁紧，杜绝线路杂乱缠绕、松动磨损、挤压短路、脱落虚接等安全隐患。规整化布线不仅提升设备内部美观度与标准化程度，更能有效避免线路长期震动磨损引发的短路、漏电、信号中断等故障，同时极大简化后期硬件检修、线路排查、部件更换的运维流程，让运维人员可快速定位线路问题、完成故障处置，大幅降低运维难度与运维时长。</w:t>
      </w:r>
    </w:p>
    <w:p w14:paraId="393E2371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产品最大结构创新亮点为软硬件一体化深度融合适配设计，彻底区别于市面通用服务器加装第三方管控软件的松散组合模式。市面通用服务器硬件为通用算力设计，无终端管控业务专属优化，软件为通用适配版本，无硬件底层适配，导致软硬件适配断层、资源浪费、运行卡顿、策略延迟、高并发失效等诸多问题。阳途硬件平台为终端安全管控业务专属定制，硬件底层驱动、系统内核适配、管控程序调度、算力分配逻辑均为一对一专属研发，软硬件匹配度达到100%，硬件算力资源精准供给终端管控、数据采集、智能分析、策略下发、日志存储等核心业务，资源利用率最大化、系统响应延迟最小化、业务稳定性最强化，彻底解决通用设备软硬件适配差、实战性能弱、长期运行不稳定的行业痛点。</w:t>
      </w:r>
    </w:p>
    <w:p w14:paraId="4B2205CC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四、高解耦可拓展模块化软硬件架构设计</w:t>
      </w:r>
    </w:p>
    <w:p w14:paraId="726C5D76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适配企业长期信息化迭代、终端规模扩容、安全需求升级、行业政策更新的发展趋势，本系统软硬件整体采用高解耦、高内聚、可插拔、可迭代、可拓展的模块化架构，严格遵循《计算机软件架构设计规范》《网络安全设备技术要求》等国家行业标准，摒弃传统一体化固化架构无法拓展、无法迭代、功能僵化的缺陷。整套架构将设备硬件运行能力、软件管控能力、数据服务能力、安全防护能力拆解为数十个独立标准化功能模块，所有模块具备独立运行、独立配置、独立启停、独立升级、独立运维的特性，模块之间通过标准化通用接口实现数据联动、策略协同、业务互通，既可单点独立运行，也可全域协同联动，构建完整闭环的终端安全运维管控体系。</w:t>
      </w:r>
    </w:p>
    <w:p w14:paraId="7B72C13F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统模块化体系覆盖终端运维与安全全业务场景，核心包含终端状态实时监测模块、智能故障自主检测模块、远程交互运维模块、精细化安全策略管控模块、外设权限管控模块、终端全维度行为审计模块、软硬件资产智能盘点模块、屏幕录像合规审计模块、批量终端升级运维模块、网络安全风险预警模块、安全合规基线检查模块、核心数据存储备份模块、AI智能分析研判模块、恶意攻击拦截防护模块、终端离线管控模块等全维度功能单元，全面覆盖政企终端日常运维、安全防护、风险处置、合规审计、资产管控、故障自愈的全部业务需求，无功能盲区、无场景缺失。</w:t>
      </w:r>
    </w:p>
    <w:p w14:paraId="57D90111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模块化架构具备极强的场景灵活性与长期拓展性，完全适配不同行业、不同规模、不同安全等级的差异化需求。针对小型单位终端数量少、运维需求简单的场景，可按需精简启用基础管控模块，关闭冗余功能，减少系统资源占用，实现轻量化高效运维；针对大型政企、三甲医院、高校、工业园区等终端数量多、场景复杂、合规要求高的场景，可全开所有功能模块，实现全方位、精细化、智能化的终端闭环管控。用户可根据自身安全建设规划、合规要求、运维人力配置，自由搭配功能模块，无需被迫接收冗余功能，真正实现按需部署、精准适配、轻量化落地。</w:t>
      </w:r>
    </w:p>
    <w:p w14:paraId="2C6E43BD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长期迭代层面，模块化架构支持无感知在线迭代升级，后期国家网络安全政策更新、行业合规标准升级、新型终端设备普及、新型网络风险爆发、企业运维需求升级时，无需整机更换硬件、无需重新部署系统、无需中断全网终端管控业务，仅需在线迭代更新对应功能模块、升级算法模型、更新策略特征库即可完成系统能力升级。该设计极大降低了企业设备迭代成本、业务中断风险与运维工作量，保障产品技术能力长期领先、功能持续合规、场景永久适配，大幅延长设备生命周期与使用价值。同时，模块化架构支持第三方系统对接拓展，可无缝联动准入系统、态势感知平台、日志审计平台、OA办公系统等，适配企业一体化安全体系建设需求。</w:t>
      </w:r>
    </w:p>
    <w:p w14:paraId="6ABE3973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五、全生命周期极简可维护性优化设计</w:t>
      </w:r>
    </w:p>
    <w:p w14:paraId="40522E81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行业内多数终端安全管控设备存在“部署简单、运维极难”的问题，设备故障排查复杂、硬件检修繁琐、系统升级困难、异常问题隐蔽，需要专业技术人员长期值守运维，极大消耗企业人力成本。阳途终端安全管理硬件平台从硬件检修、系统运维、故障排查、迭代升级、日常巡检、风险预判六大维度，打造全生命周期极简可维护体系，全方位降低运维门槛、缩短故障处置时长、减少人工干预频次、降低整体运维成本，完美适配政企无人值守、少运维、高稳定的设备运行需求。</w:t>
      </w:r>
    </w:p>
    <w:p w14:paraId="21BCD05A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硬件运维层面，设备核心功能部件全部采用免工具快速拆装模块化设计，本地存储模块、网络拓展模块、辅助供电模块、散热模块等核心易损部件，支持徒手快速拆卸、快速更换、快速复位，无需专业拆机工具、无需复杂拆机流程、无需整机断电停机检修。运维人员即使无专业硬件维修经验，也可快速定位故障点位、完成部件更换与故障修复，硬件故障处置效率较传统设备提升80%以上，彻底解决传统设备拆机繁琐、检修复杂、故障定位困难的痛点。同时设备内部结构标识清晰、线路分区明确、部件布局规整，极大降低硬件排查与维护难度。</w:t>
      </w:r>
    </w:p>
    <w:p w14:paraId="1CF8E5E0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统运维层面，设备内置7×24小时全天候全域智能监测机制，可实时采集、统计、分析设备数十项核心运行数据，包含CPU实时负载、内存占用率、磁盘使用率、磁盘读写状态、网络吞吐量、各网口在线状态、系统进程运行状态、核心服务启停状态、设备内部温度、电压电流稳定性等关键指标。系统毫秒级记录设备运行日志、异常触发日志、故障溯源日志、性能波动日志，可实现设备故障提前预警、性能异常预判、风险状态可视可控，彻底改变传统设备“故障爆发后被动处置”的运维模式，升级为“提前预判、主动防护、提前处置”的智能化运维模式，从源头减少设备宕机、管控中断、性能异常等问题。</w:t>
      </w:r>
    </w:p>
    <w:p w14:paraId="136635BA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管理平台搭载一体化智能运维工作台，将设备硬件异常、系统服务失效、终端离线掉线、资产变动异常、策略执行失效、安全风险告警、端口运行异常等所有问题集中汇总展示，可视化呈现全网运维状态与设备运行状态。平台集成一键智能诊断、一键自动修复、一键批量处置、一键日志检索、一键数据导出、一键合规报表生成等便捷功能，运维人员无需逐台排查终端、无需逐条分析日志，即可快速完成批量运维、故障处置、合规自查工作。同时系统支持全程远程运维、在线平滑升级、远程故障排查、远程参数调试，运维人员无需频繁前往机房现场操作，足不出户即可完成全网设备与终端的运维管理，大幅提升运维智能化、便捷化、高效化水平，适配大规模终端集群常态化运维场景。</w:t>
      </w:r>
    </w:p>
    <w:p w14:paraId="40B9A586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常巡检层面，系统支持自动巡检、定时巡检、自定义巡检三种模式，可自动生成设备巡检报告、终端运维报告、安全合规报告，替代传统人工巡检、人工统计、人工制表的繁琐工作，巡检效率提升90%以上，同时避免人工巡检漏检、误检、统计失误的问题，保障运维工作全面、精准、规范。整套可维护体系贯穿设备部署、运行、运维、升级、迭代、报废全生命周期，全方位降低企业运维压力。</w:t>
      </w:r>
    </w:p>
    <w:p w14:paraId="434A6D3B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六、软硬件双重物理与系统安全结构设计</w:t>
      </w:r>
    </w:p>
    <w:p w14:paraId="78851E0D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终端安全管控设备作为全网终端安全的核心枢纽，自身安全性直接决定全网终端安全体系的稳定性与可靠性，一旦核心设备被入侵、篡改、攻击或故障，将导致全网终端管控失效、安全防线崩塌、数据泄露风险爆发。本产品构建物理安全+系统安全+权限安全+运行安全四重安全结构体系，全方位筑牢核心设备安全底座，满足政企高等级安全防护、等保合规、行业专项安全要求。</w:t>
      </w:r>
    </w:p>
    <w:p w14:paraId="55E6CC66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物理安全结构层面，整机具备完善的防尘、防潮、防震、防挤压、防短路、防非法接入、防外力破坏多重防护能力。机身采用封闭式致密结构设计，无多余镂空缝隙，可有效阻隔粉尘、水汽、蚊虫进入设备内部，避免电路板受潮短路、芯片积灰老化、线路腐蚀破损等物理故障；设备整体抗震结构经过专业抗震测试，可有效抵御机房设备共振、柜门频繁开关震动、机房轻微震动冲击，保障设备运行过程中无位移、无松动、无部件脱落；接口锁紧防护结构可杜绝非法设备私自接入、线路松动脱落、人为误插损坏等问题；机身高强度钢板结构可抵御轻微挤压、磕碰，保护内部精密电路与芯片安全，全方位保障设备长期物理运行稳定。</w:t>
      </w:r>
    </w:p>
    <w:p w14:paraId="6AD0A434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统安全结构层面，设备搭载封闭式嵌入式安全操作系统架构，基于原厂定制Linux系统深度精简加固，彻底摒弃通用系统冗余多、漏洞多、开放端口多、风险高的缺陷。系统默认关闭所有闲置端口、高危服务、无效进程、冗余组件，从底层封堵系统漏洞、木马植入、病毒入侵、恶意扫描、非法渗透等网络攻击风险；系统内核经过权限加固、访问控制加固、运行防护加固，杜绝进程注入、权限提权、系统篡改等恶意行为，底层安全防护等级远超通用服务器系统。</w:t>
      </w:r>
    </w:p>
    <w:p w14:paraId="5786531A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权限安全结构层面，平台搭建多级分权分域权限体系，精细化划分超级管理员、运维管理员、审计管理员、普通操作员、只读用户五大角色权限，严格隔离系统配置权限、设备运维权限、安全策略权限、日志审计权限、数据导出权限、系统升级权限、账号管理权限，实现权限相互隔离、相互制约、全程可追溯。杜绝单一账号权限过大引发的越权操作、恶意篡改、违规配置、数据泄露等人为安全风险，适配政企内控管理、合规审计、责任追溯的管理要求。</w:t>
      </w:r>
    </w:p>
    <w:p w14:paraId="57BC3FC7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运行安全结构层面，系统内置底层智能自愈防护机制，7×24小时实时监测系统进程、服务运行、账号登录、网络访问、数据读写状态，可精准识别暴力破解、非法IP登录、恶意端口扫描、越权访问、进程异常、服务挂起、恶意篡改等攻击与故障行为，自动完成攻击拦截、风险IP锁定、异常服务重启、风险账号冻结、告警日志留存等闭环处置操作，全方位保障管理平台运行稳定、配置安全、数据完整、管控闭环，杜绝核心设备被攻破、管控体系瘫痪的重大安全风险。</w:t>
      </w:r>
    </w:p>
    <w:p w14:paraId="22571A78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七、高标准电磁兼容与复杂环境适配设计</w:t>
      </w:r>
    </w:p>
    <w:p w14:paraId="70539815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、科研、精密制造、电力等行业机房存在电磁环境复杂、精密设备密集、电磁干扰源多、设备精度要求极高的特点，普通网络设备电磁辐射超标、抗干扰能力弱，极易干扰精密仪器、医疗设备的正常运行，同时自身易受外界电磁杂波影响，出现运行异常、数据紊乱、终端离线、策略失效等问题。本产品严格依据国家《GB/T 17626电磁兼容系列标准》《信息技术设备电磁兼容限值与测量方法》设计生产，通过多重专业电磁屏蔽优化设计，实现低辐射、高抗扰、零干扰、高稳定的运行特性，完美适配高精密、高敏感、高复杂的行业电磁环境。</w:t>
      </w:r>
    </w:p>
    <w:p w14:paraId="361CB8B8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辐射抑制层面，设备内部加装高密度全包裹金属电磁屏蔽隔板、全方位屏蔽衬垫、专业接地降噪系统，对设备CPU、高频芯片、交换电路、供电模块等高频辐射源进行全封闭屏蔽处理，有效阻隔设备内部电路运行产生的电磁辐射外泄。经权威检测，设备电磁辐射值远低于国家行业标准限值，不会对周边医疗诊疗设备、精密检测仪器、网络通信设备、工控设备产生任何电磁干扰，不影响精密设备的数据采集精度、诊疗结果与正常运行，完全满足医院手术室、检验科室、影像科室、科研实验室、精密生产车间等高精密场景的共存要求。</w:t>
      </w:r>
    </w:p>
    <w:p w14:paraId="127BB15F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抗干扰层面，设备具备超强外界电磁抗干扰能力，可有效屏蔽机房大型电力设备、空调机组、UPS电源、网络核心设备、精密仪器运行产生的电磁杂波、电压波动、电流干扰。在复杂电磁环境下，设备网络传输持续稳定、系统运行正常、策略执行精准、数据采集无误，不会出现终端批量离线、数据错乱、功能异常、策略失效、设备死机等问题。同时设备具备电压波动适配能力，可适配机房电压小幅波动、瞬时断电重启等工况，进一步提升复杂环境适配能力，全方位保障设备在各类复杂场景下的稳定运行。</w:t>
      </w:r>
    </w:p>
    <w:p w14:paraId="5B25141F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八、人性化交互与全场景用户体验设计</w:t>
      </w:r>
    </w:p>
    <w:p w14:paraId="09CBE912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产品兼顾运维管理人员的运维体验与终端用户的使用体验，全方位优化人机交互逻辑、系统运行适配、操作便捷性，彻底解决传统管控设备运维复杂、终端卡顿、弹窗干扰、操作繁琐的体验痛点，实现管理高效化、运维极简化、终端无感化、场景适配化。</w:t>
      </w:r>
    </w:p>
    <w:p w14:paraId="25F8BD91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管理后台采用现代化扁平化、可视化、卡片式UI设计，功能分区清晰、菜单层级精简、操作逻辑直观，摒弃传统后台繁杂冗余、层级混乱、操作复杂的设计缺陷。后台集成数据总览看板、终端状态统计、故障汇总分析、安全策略管理、日志审计追溯、资产智能盘点、系统运维配置、合规报表生成等全功能模块，界面简洁大气、重点突出、数据直观。运维人员无需专业技术培训，即可快速上手完成日常巡检、策略配置、故障处置、数据导出、合规自查、账号管理等全部运维操作，大幅降低学习成本与运维难度，提升整体工作效率。</w:t>
      </w:r>
    </w:p>
    <w:p w14:paraId="5D5F3396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终端客户端采用极致轻量化静默驻留设计，内核精简、资源占用极低、运行效率极高，后台静默运行、无弹窗、无广告、无主动打扰、不抢占系统资源、不冲突业务程序。客户端完美兼容各类办公系统、医疗业务系统、工业控制系统、政务业务系统，全程不影响终端正常办公、诊疗、生产、业务办理工作，终端用户全程无感知、零干扰，彻底解决传统管控软件占用资源高、导致终端卡顿、影响业务运行的核心痛点。</w:t>
      </w:r>
    </w:p>
    <w:p w14:paraId="78DDDD16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统创新双模式协同运维体系，支持管理员后台批量运维、全局管控、精细化策略配置，同时支持终端用户本地自主简易运维、故障自查、状态查看，双向分担运维压力、提升运维效率。同时系统支持客户端名称、桌面图标、升级策略、权限模板、告警方式的个性化自定义，可根据不同行业、不同科室、不同岗位、不同终端类型的差异化管理需求，定制专属管控模式与展示样式，适配全场景个性化管理需求，整体人性化、实用性、场景适配性行业领先。</w:t>
      </w:r>
    </w:p>
    <w:p w14:paraId="76C37F7C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headerReference r:id="rId5" w:type="default"/>
      <w:pgSz w:w="11906" w:h="16838"/>
      <w:pgMar w:top="1984" w:right="1701" w:bottom="1417" w:left="1701" w:header="964" w:footer="992" w:gutter="0"/>
      <w:cols w:space="0" w:num="1"/>
      <w:titlePg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1B779">
    <w:pPr>
      <w:pStyle w:val="4"/>
      <w:ind w:left="0" w:leftChars="0" w:firstLine="0" w:firstLineChars="0"/>
      <w:jc w:val="both"/>
    </w:pPr>
    <w:r>
      <w:rPr>
        <w:rFonts w:hint="eastAsia" w:eastAsia="宋体"/>
        <w:lang w:eastAsia="zh-CN"/>
      </w:rPr>
      <w:drawing>
        <wp:inline distT="0" distB="0" distL="114300" distR="114300">
          <wp:extent cx="5400040" cy="367665"/>
          <wp:effectExtent l="0" t="0" r="10160" b="13335"/>
          <wp:docPr id="8" name="图片 1" descr="C:\Users\佐智\Desktop\阳途Word文档页眉页脚wwww.png阳途Word文档页眉页脚w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1" descr="C:\Users\佐智\Desktop\阳途Word文档页眉页脚wwww.png阳途Word文档页眉页脚www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36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03799"/>
    <w:rsid w:val="04903799"/>
    <w:rsid w:val="14E6675C"/>
    <w:rsid w:val="180026D3"/>
    <w:rsid w:val="20C64805"/>
    <w:rsid w:val="23E77D2E"/>
    <w:rsid w:val="26B4354F"/>
    <w:rsid w:val="299327C4"/>
    <w:rsid w:val="2EAC5069"/>
    <w:rsid w:val="5AEE7739"/>
    <w:rsid w:val="62570E42"/>
    <w:rsid w:val="71FF1D0A"/>
    <w:rsid w:val="75A3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topLinePunct/>
      <w:adjustRightInd w:val="0"/>
      <w:snapToGrid w:val="0"/>
      <w:spacing w:line="360" w:lineRule="auto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40" w:line="240" w:lineRule="auto"/>
      <w:outlineLvl w:val="0"/>
    </w:pPr>
    <w:rPr>
      <w:rFonts w:ascii="宋体" w:hAnsi="宋体" w:eastAsia="宋体"/>
      <w:b/>
      <w:bCs/>
      <w:kern w:val="44"/>
      <w:sz w:val="32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Indent 3"/>
    <w:basedOn w:val="1"/>
    <w:uiPriority w:val="0"/>
    <w:pPr>
      <w:spacing w:after="120" w:afterLines="0" w:afterAutospacing="0"/>
      <w:ind w:left="420" w:leftChars="200"/>
    </w:pPr>
    <w:rPr>
      <w:sz w:val="16"/>
    </w:rPr>
  </w:style>
  <w:style w:type="character" w:customStyle="1" w:styleId="8">
    <w:name w:val="文档标题"/>
    <w:qFormat/>
    <w:uiPriority w:val="0"/>
    <w:rPr>
      <w:b/>
      <w:bCs/>
      <w:sz w:val="56"/>
    </w:rPr>
  </w:style>
  <w:style w:type="character" w:customStyle="1" w:styleId="9">
    <w:name w:val="文档封面文字"/>
    <w:qFormat/>
    <w:uiPriority w:val="0"/>
    <w:rPr>
      <w:rFonts w:eastAsia="宋体"/>
      <w:sz w:val="21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4234</Words>
  <Characters>4300</Characters>
  <Lines>0</Lines>
  <Paragraphs>0</Paragraphs>
  <TotalTime>0</TotalTime>
  <ScaleCrop>false</ScaleCrop>
  <LinksUpToDate>false</LinksUpToDate>
  <CharactersWithSpaces>4301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2026-06-08T03:52:00Z</dcterms:created>
  <dc:creator>WPS_1669710475</dc:creator>
  <cp:lastModifiedBy>WPS_1669710475</cp:lastModifiedBy>
  <dcterms:modified xsi:type="dcterms:W3CDTF">2026-06-08T05:39:08Z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1294F12B9DD44E338183860640971B47_13</vt:lpwstr>
  </property>
  <property fmtid="{D5CDD505-2E9C-101B-9397-08002B2CF9AE}" pid="4" name="KSOTemplateDocerSaveRecord">
    <vt:lpwstr>eyJoZGlkIjoiYzBmZmEyMmVkYTBiY2VlN2EwOGZhZDc3NWJmMWFkOTQiLCJ1c2VySWQiOiIxNDQxMzcyMjc0In0=</vt:lpwstr>
  </property>
</Properties>
</file>