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F8E79">
      <w:pPr>
        <w:rPr>
          <w:rFonts w:hint="eastAsia" w:ascii="宋体" w:hAnsi="宋体" w:eastAsia="宋体" w:cs="宋体"/>
        </w:rPr>
      </w:pPr>
      <w:bookmarkStart w:id="0" w:name="heading_9"/>
    </w:p>
    <w:p w14:paraId="7611C49B">
      <w:pPr>
        <w:rPr>
          <w:rFonts w:hint="eastAsia" w:ascii="宋体" w:hAnsi="宋体" w:eastAsia="宋体" w:cs="宋体"/>
        </w:rPr>
      </w:pPr>
    </w:p>
    <w:p w14:paraId="1C2A5C80">
      <w:pPr>
        <w:jc w:val="right"/>
        <w:rPr>
          <w:rStyle w:val="8"/>
          <w:rFonts w:hint="eastAsia" w:ascii="微软雅黑" w:hAnsi="微软雅黑" w:eastAsia="微软雅黑" w:cs="微软雅黑"/>
          <w:b/>
          <w:bCs w:val="0"/>
          <w:sz w:val="52"/>
          <w:szCs w:val="52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-1163955</wp:posOffset>
            </wp:positionH>
            <wp:positionV relativeFrom="page">
              <wp:posOffset>-8255</wp:posOffset>
            </wp:positionV>
            <wp:extent cx="1874520" cy="3298190"/>
            <wp:effectExtent l="0" t="0" r="11430" b="16510"/>
            <wp:wrapNone/>
            <wp:docPr id="6" name="图片 6" descr="阳途Word文档页眉页脚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阳途Word文档页眉页脚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32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8"/>
          <w:rFonts w:hint="eastAsia" w:ascii="微软雅黑" w:hAnsi="微软雅黑" w:eastAsia="微软雅黑" w:cs="微软雅黑"/>
          <w:b/>
          <w:bCs w:val="0"/>
          <w:sz w:val="52"/>
          <w:szCs w:val="52"/>
          <w:lang w:eastAsia="zh-CN"/>
        </w:rPr>
        <w:t>阳途终端安全管理系统</w:t>
      </w:r>
    </w:p>
    <w:p w14:paraId="21C1E1D2">
      <w:pPr>
        <w:jc w:val="right"/>
        <w:rPr>
          <w:rStyle w:val="8"/>
          <w:rFonts w:hint="eastAsia" w:ascii="微软雅黑" w:hAnsi="微软雅黑" w:eastAsia="微软雅黑" w:cs="微软雅黑"/>
          <w:b/>
          <w:bCs w:val="0"/>
          <w:sz w:val="52"/>
          <w:szCs w:val="52"/>
          <w:lang w:val="en-US" w:eastAsia="zh-CN"/>
        </w:rPr>
      </w:pPr>
      <w:r>
        <w:rPr>
          <w:rStyle w:val="8"/>
          <w:rFonts w:hint="eastAsia" w:ascii="微软雅黑" w:hAnsi="微软雅黑" w:eastAsia="微软雅黑" w:cs="微软雅黑"/>
          <w:b/>
          <w:bCs w:val="0"/>
          <w:sz w:val="52"/>
          <w:szCs w:val="52"/>
          <w:lang w:val="en-US" w:eastAsia="zh-CN"/>
        </w:rPr>
        <w:t>产品硬件功能</w:t>
      </w:r>
    </w:p>
    <w:p w14:paraId="3D0D8E64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sz w:val="84"/>
          <w:szCs w:val="84"/>
        </w:rPr>
      </w:pPr>
    </w:p>
    <w:p w14:paraId="249BA7E7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sz w:val="24"/>
          <w:szCs w:val="24"/>
        </w:rPr>
      </w:pPr>
    </w:p>
    <w:p w14:paraId="17D6A961">
      <w:pPr>
        <w:wordWrap/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sz w:val="24"/>
          <w:szCs w:val="24"/>
        </w:rPr>
      </w:pPr>
    </w:p>
    <w:p w14:paraId="63241AAF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06271C1F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  <w:lang w:eastAsia="zh-CN"/>
        </w:rPr>
      </w:pPr>
    </w:p>
    <w:p w14:paraId="2AFC636B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  <w:r>
        <w:rPr>
          <w:rFonts w:hint="eastAsia" w:eastAsia="微软雅黑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2320290</wp:posOffset>
            </wp:positionH>
            <wp:positionV relativeFrom="page">
              <wp:posOffset>4283075</wp:posOffset>
            </wp:positionV>
            <wp:extent cx="985520" cy="1651635"/>
            <wp:effectExtent l="0" t="0" r="5080" b="5715"/>
            <wp:wrapNone/>
            <wp:docPr id="7" name="图片 7" descr="阳途Word文档页眉页脚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阳途Word文档页眉页脚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C9B6F4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7159E08C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7EB670D5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61AD21CD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7B534856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6CA2715E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3A2BAF1C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2CAEE100">
      <w:pPr>
        <w:spacing w:line="400" w:lineRule="exact"/>
        <w:jc w:val="both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20F9276B">
      <w:pPr>
        <w:spacing w:line="400" w:lineRule="exact"/>
        <w:jc w:val="both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5A6DAA9F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78492C09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2BD9DBFC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3892D27C">
      <w:pPr>
        <w:spacing w:line="400" w:lineRule="exact"/>
        <w:jc w:val="both"/>
        <w:rPr>
          <w:rStyle w:val="9"/>
          <w:rFonts w:hint="eastAsia" w:ascii="微软雅黑" w:hAnsi="微软雅黑" w:eastAsia="微软雅黑" w:cs="微软雅黑"/>
          <w:b/>
          <w:bCs/>
          <w:color w:val="7E7E7E"/>
          <w:sz w:val="24"/>
          <w:szCs w:val="24"/>
        </w:rPr>
      </w:pPr>
    </w:p>
    <w:p w14:paraId="2DDE5401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</w:pPr>
      <w:r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南京市中华路420号省科创中心</w:t>
      </w:r>
      <w:r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  <w:lang w:eastAsia="zh-CN"/>
        </w:rPr>
        <w:t>六</w:t>
      </w:r>
      <w:r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层</w:t>
      </w:r>
    </w:p>
    <w:p w14:paraId="5230062A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  <w:lang w:val="en-US" w:eastAsia="zh-CN"/>
        </w:rPr>
      </w:pPr>
      <w:r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销售热线：400-</w:t>
      </w:r>
      <w:r>
        <w:rPr>
          <w:rStyle w:val="9"/>
          <w:rFonts w:hint="eastAsia" w:ascii="微软雅黑" w:hAnsi="微软雅黑" w:cs="微软雅黑"/>
          <w:b/>
          <w:bCs/>
          <w:color w:val="000000"/>
          <w:sz w:val="24"/>
          <w:szCs w:val="24"/>
          <w:lang w:val="en-US" w:eastAsia="zh-CN"/>
        </w:rPr>
        <w:t>015</w:t>
      </w:r>
      <w:r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-</w:t>
      </w:r>
      <w:r>
        <w:rPr>
          <w:rStyle w:val="9"/>
          <w:rFonts w:hint="eastAsia" w:ascii="微软雅黑" w:hAnsi="微软雅黑" w:cs="微软雅黑"/>
          <w:b/>
          <w:bCs/>
          <w:color w:val="000000"/>
          <w:sz w:val="24"/>
          <w:szCs w:val="24"/>
          <w:lang w:val="en-US" w:eastAsia="zh-CN"/>
        </w:rPr>
        <w:t>3680</w:t>
      </w:r>
    </w:p>
    <w:p w14:paraId="2C87F22D">
      <w:pPr>
        <w:spacing w:line="400" w:lineRule="exact"/>
        <w:ind w:firstLine="420"/>
        <w:jc w:val="right"/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  <w:lang w:val="en-US" w:eastAsia="zh-CN"/>
        </w:rPr>
      </w:pPr>
      <w:r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服务热线：400-</w:t>
      </w:r>
      <w:r>
        <w:rPr>
          <w:rStyle w:val="9"/>
          <w:rFonts w:hint="eastAsia" w:ascii="微软雅黑" w:hAnsi="微软雅黑" w:cs="微软雅黑"/>
          <w:b/>
          <w:bCs/>
          <w:color w:val="000000"/>
          <w:sz w:val="24"/>
          <w:szCs w:val="24"/>
          <w:lang w:val="en-US" w:eastAsia="zh-CN"/>
        </w:rPr>
        <w:t>015</w:t>
      </w:r>
      <w:r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-</w:t>
      </w:r>
      <w:r>
        <w:rPr>
          <w:rStyle w:val="9"/>
          <w:rFonts w:hint="eastAsia" w:ascii="微软雅黑" w:hAnsi="微软雅黑" w:cs="微软雅黑"/>
          <w:b/>
          <w:bCs/>
          <w:color w:val="000000"/>
          <w:sz w:val="24"/>
          <w:szCs w:val="24"/>
          <w:lang w:val="en-US" w:eastAsia="zh-CN"/>
        </w:rPr>
        <w:t>3680</w:t>
      </w:r>
    </w:p>
    <w:p w14:paraId="25EA0345">
      <w:pPr>
        <w:spacing w:line="400" w:lineRule="exact"/>
        <w:jc w:val="right"/>
        <w:rPr>
          <w:rFonts w:hint="eastAsia" w:eastAsia="宋体"/>
          <w:b/>
          <w:bCs/>
          <w:color w:val="7E7E7E"/>
          <w:lang w:eastAsia="zh-CN"/>
        </w:rPr>
      </w:pPr>
      <w:r>
        <w:rPr>
          <w:rStyle w:val="9"/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http: //www.yangtusoft.</w:t>
      </w:r>
      <w:r>
        <w:rPr>
          <w:rStyle w:val="9"/>
          <w:rFonts w:hint="eastAsia" w:ascii="微软雅黑" w:hAnsi="微软雅黑" w:cs="微软雅黑"/>
          <w:b/>
          <w:bCs/>
          <w:color w:val="000000"/>
          <w:sz w:val="24"/>
          <w:szCs w:val="24"/>
          <w:lang w:val="en-US" w:eastAsia="zh-CN"/>
        </w:rPr>
        <w:t>cn</w:t>
      </w:r>
      <w:r>
        <w:rPr>
          <w:rFonts w:hint="eastAsia" w:eastAsia="宋体"/>
          <w:b/>
          <w:bCs/>
          <w:color w:val="7E7E7E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3905250</wp:posOffset>
            </wp:positionH>
            <wp:positionV relativeFrom="page">
              <wp:posOffset>7512685</wp:posOffset>
            </wp:positionV>
            <wp:extent cx="2541905" cy="3246120"/>
            <wp:effectExtent l="0" t="0" r="10795" b="11430"/>
            <wp:wrapNone/>
            <wp:docPr id="5" name="图片 8" descr="C:\Users\佐智\Desktop\阳途Word文档页眉页脚3.png阳途Word文档页眉页脚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 descr="C:\Users\佐智\Desktop\阳途Word文档页眉页脚3.png阳途Word文档页眉页脚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6CFB44">
      <w:pPr>
        <w:spacing w:line="400" w:lineRule="exact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bookmarkEnd w:id="0"/>
    <w:p w14:paraId="65D63D31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方案为阳途终端安全管理系统硬件平台专项技术白皮书，全面阐述硬件设备的基础承载能力、扩展升级能力、多设备联用协同能力、安全冗余保障能力四大核心板块。硬件平台作为整套终端安全管控系统的核心承载基座，经过原厂严苛的高低温测试、满载压力测试、7×24小时老化测试、复杂环境适配测试，具备高稳定、高并发、高兼容、高安全、高拓展的核心特性，可全方位支撑大规模终端集群的常态化安全管控、智能运维、合规审计工作。本方案内容完整、技术详实、场景适配全面，可对外展示产品硬件核心优势与技术能力，适用于官网公示、客户参考、产品推广使用。</w:t>
      </w:r>
    </w:p>
    <w:p w14:paraId="4B20DFC9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一、硬件平台整体定位与核心优势</w:t>
      </w:r>
    </w:p>
    <w:p w14:paraId="22E11D16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当前政企数字化安全建设体系中，终端作为网络安全的最后一公里，是风险入侵、数据泄露、违规操作的高发点位，终端安全管控设备的稳定性、功能性、可靠性直接决定全网安全防线的完整性与有效性。市面多数终端安全管控硬件多采用通用服务器改装，硬件架构为通用算力设计，无终端管控业务专属优化，存在高并发承载能力弱、策略下发延迟、数据采集卡顿、长期运行积热死机、扩容能力差、协同能力弱、无冗余保障等诸多缺陷，无法满足大规模终端集群、7×24小时不间断业务、复杂网络环境的管控需求，极易出现终端批量离线、管控策略失效、运维数据丢失、安全防护缺位等重大问题。</w:t>
      </w:r>
    </w:p>
    <w:p w14:paraId="2A597225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阳途终端安全管理硬件平台聚焦终端安全运维专属场景，摒弃通用硬件的通用化设计缺陷，针对性优化算力调度、网络传输、数据存储、任务调度、负载均衡、自愈防护六大核心能力，专为大规模终端并发管控、常态化智能运维、高等级安全合规场景量身打造。硬件平台整体具备专属算力优化、高并发承载、低延迟调度、全场景兼容、可长期拓展、多重冗余自愈、复杂环境适配七大核心优势，可稳定承载1500点终端高密度、高并发、不间断的常态化管控工作，适配政企、医疗、教育、工业、园区等全行业复杂终端环境与严苛运行工况。</w:t>
      </w:r>
    </w:p>
    <w:p w14:paraId="73DD14D6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整套硬件平台经过原厂数千次极限工况测试，可在高温、低温、潮湿、多尘、电磁干扰、网络波动、电压不稳等复杂环境下持续稳定运行，无宕机、无卡顿、无服务中断、无数据丢失，硬件可靠性、运行稳定性、场景适配性远超通用改装设备，是国内终端安全管控领域专业化、场景化、高可靠的标杆级硬件产品。</w:t>
      </w:r>
    </w:p>
    <w:p w14:paraId="0CD7F4EB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二、硬件基础核心运行功能</w:t>
      </w:r>
      <w:bookmarkStart w:id="2" w:name="_GoBack"/>
      <w:bookmarkEnd w:id="2"/>
    </w:p>
    <w:p w14:paraId="2F5DE924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硬件基础运行功能是保障全网终端常态化、稳定化、标准化管控的核心基础，覆盖终端接入认证、状态感知、策略调度、负载均衡、数据存储、任务执行六大核心能力，全方位支撑终端日常运维、安全防护、数据采集、合规留存的基础业务运行，无业务盲区、无能力短板。</w:t>
      </w:r>
    </w:p>
    <w:p w14:paraId="17F60458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网终端全域实时状态感知能力：硬件平台搭载高灵敏度终端心跳检测机制，支持毫秒级全网终端心跳信号接收与解析，可实时精准捕捉全网所有终端的在线、离线、休眠、待机、异常掉线、临时断网、重启开机等全状态变化，自动动态生成全网终端在线台账、终端状态统计表、离线终端清单，实现全网终端状态可视化、无死角、全时段、可追溯管控。针对临时离线、网络波动掉线的终端，平台可实时记录离线时间、离线时长、网络状态、掉线诱因，终端重新上线联网后，自动触发策略补全、数据同步、状态校准机制，自动补全离线期间缺失的管控策略、审计日志、运行数据，保障全网终端管控标准统一、数据完整、无遗漏、无中断，彻底解决传统设备终端状态识别滞后、离线数据丢失、策略执行断层的问题。</w:t>
      </w:r>
    </w:p>
    <w:p w14:paraId="24B8CBC3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低延迟智能策略精准调度能力：平台搭载硬件级专属策略调度芯片与智能调度算法，摆脱通用服务器软件调度的延迟缺陷，实现硬件级毫秒级策略下发与执行。系统支持单点终端、指定终端分组、指定科室、指定IP网段、指定终端类型、全网终端多维度精准策略推送，可适配终端网络管控、外设权限管控、网页访问管控、软件运行管控、行为审计管控、安全风险处置等全场景策略落地。大批量终端同时接收策略、执行策略时，设备无卡顿、无堆积、无超时、无策略失效问题，策略下发成功率、执行成功率接近100%，彻底解决传统设备大批量终端策略下发延迟、部分终端策略失效、策略执行不一致的行业痛点，保障全网终端安全管控标准统一、精准落地。</w:t>
      </w:r>
    </w:p>
    <w:p w14:paraId="50A659A4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智能动态负载均衡调度能力：硬件内置硬件级实时负载监测与动态调度引擎，可毫秒级采集设备CPU使用率、内存占用、磁盘读写负载、网络吞吐量、并发连接数、任务队列数量等核心负载数据，根据实时负载状态自动动态分配算力资源、网络资源、存储资源与任务优先级。在终端批量上线、全网资产批量盘点、大规模日志集中上传、批量远程运维、全网策略更新等高并发、大流量、高负载场景下，系统自动均衡各模块运行压力，避免局部负载过高、资源分配不均导致的系统卡顿、响应延迟、任务堆积、服务挂起、终端离线等问题，保障设备全年365天满载稳定运行，性能无衰减、状态无波动。</w:t>
      </w:r>
    </w:p>
    <w:p w14:paraId="2FE35D80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大容量防篡改安全存储能力：设备搭载企业级高速存储硬盘，构建本地大容量安全存储体系，专门用于存储全网终端运维日志、安全审计日志、故障运行日志、策略执行记录、软硬件资产变动记录、屏幕录像数据、系统配置数据、权限台账数据等核心合规数据。存储分区采用防篡改、防删除、防清空、自动备份、分层加密五重防护设计，支持用户自定义日志留存周期、重要数据永久留存、过期数据自动清理，兼顾存储利用率与数据安全性。所有存储数据全程加密归档、日志不可篡改、记录可永久追溯，完全满足网络安全等级保护、行业合规核查、安全事故复盘、责任精准追溯的硬性数据要求，无需额外搭建存储服务器，降低用户硬件投入成本。</w:t>
      </w:r>
    </w:p>
    <w:p w14:paraId="2D4CBE1B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天候业务持续承载能力：硬件平台专为7×24小时不间断运行场景定制，经过原厂连续10000小时满载老化测试，可长期不间断承载全网终端接入、数据采集、策略下发、智能分析、日志存储、风险预警等核心业务，无周期性卡顿、无自动重启、无服务中断、无性能衰减，完美适配医院、政务、工业、金融等无间断业务运行场景，保障终端安全管控体系全年无休、持续有效。</w:t>
      </w:r>
    </w:p>
    <w:p w14:paraId="4C7F14FF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三、硬件拓展与全流程平滑升级功能</w:t>
      </w:r>
    </w:p>
    <w:p w14:paraId="3FFC5DDB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信息化建设具备长期性、迭代性、拓展性特征，企业终端数量会随业务发展持续扩容，安全管控需求会随政策更新、风险迭代不断升级，传统固化硬件设备无法适配长期发展需求，频繁更换设备会造成大量资金浪费、业务中断、数据丢失。本硬件平台具备硬件模块化扩容、软件无感知迭代、终端分级升级、能力持续更新四位一体的全维度拓展升级能力，完美适配企业长期信息化建设规划，最大化延长设备生命周期、提升设备使用价值、降低迭代投入成本。</w:t>
      </w:r>
    </w:p>
    <w:p w14:paraId="12590A5A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硬件物理模块化扩容能力：设备出厂预留标准化高速网络拓展接口、大容量存储拓展插槽、硬件性能升级通道三大拓展接口，全部采用行业通用标准化规格，兼容市面主流拓展配件，扩容便捷、成本低廉。当企业后期终端数量扩容、网段划分增多、日志存储体量增大、运维业务增多时，无需更换整机设备，仅需通过新增网口模块、扩容硬盘、升级硬件算力模块即可满足业务增量需求，快速适配业务发展变化。该模块化扩容设计彻底解决传统设备固化不可拓展、增量必须换设备的痛点，大幅降低企业长期硬件投入成本，适配企业3-10年长期信息化迭代发展节奏。</w:t>
      </w:r>
    </w:p>
    <w:p w14:paraId="115C771C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统软件全程平滑增量升级能力：系统独创差分增量升级技术，区别于传统设备整包升级、必须停机重启的落后模式，升级过程仅更新系统增量程序包，保留用户所有原有配置、安全策略、权限体系、资产数据、审计日志、个性化设置，升级全程无需停机、无需重启设备、无需中断全网终端管控业务，真正实现业务零中断、数据零丢失、配置零重置、风险零隐患的升级效果。系统后台服务、核心算法、安全库、功能模块均可在线迭代更新，彻底规避传统设备升级导致的全网管控瘫痪、终端离线、策略失效、数据丢失等重大风险。</w:t>
      </w:r>
    </w:p>
    <w:p w14:paraId="6937B583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终端精细化分级分批升级管控能力：针对终端客户端升级容易引发业务卡顿、系统兼容冲突、办公中断的行业痛点，系统提供精细化、场景化、差异化的终端升级管控模式。管理员可结合企业办公排班、业务运行时段、核心业务运行规律，自由自定义升级时间段、升级网段范围、升级终端群体，支持全网统一升级、指定部门升级、指定网段升级、指定终端分组升级、核心业务终端禁止升级、老旧终端适配升级等多种管控策略，精准规避工作高峰、诊疗高峰、生产高峰等关键时段升级，杜绝批量升级引发的终端卡顿、业务暂停、系统异常问题，全方位保障企业核心业务稳定运行。同时系统自动统计终端升级成功率、失败原因、在线状态，支持升级故障一键修复，保障客户端迭代全覆盖、无遗漏。</w:t>
      </w:r>
    </w:p>
    <w:p w14:paraId="27D2CC91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安全库与适配库持续迭代能力：原厂研发团队持续跟踪全国网络安全新规、新型网络攻击手段、新型终端安全漏洞、新型终端设备型号、行业专项合规要求，定期迭代更新系统安全策略库、故障特征库、病毒防护库、终端适配库、AI风险模型库，持续优化系统防护能力、故障识别能力、终端兼容能力、智能研判能力，让设备永久适配最新安全形势、最新终端设备、最新合规标准，保障产品技术能力长期领先、合规有效、场景适配。</w:t>
      </w:r>
    </w:p>
    <w:p w14:paraId="02E029AA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四、跨系统联用与多模式协同联动功能</w:t>
      </w:r>
    </w:p>
    <w:p w14:paraId="552CDBD5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当前政企网络安全体系呈现多平台、多系统、多设备并存的建设格局，准入系统、审计系统、态势感知系统、终端管控系统独立运行、数据割裂、策略不互通，形成大量安全孤岛、运维孤岛，无法实现全域协同防护、统一运维。本硬件平台具备强大的跨平台联用、跨终端兼容、多模式运维联动能力，可打破传统终端管控设备孤岛式运行弊端，打通各安全平台数据壁垒、策略壁垒、运维壁垒，构建全域一体化、智能化、协同化的终端安全运维体系，适配政企复杂多系统、多终端、多网段的网络环境。</w:t>
      </w:r>
    </w:p>
    <w:p w14:paraId="1923DFF6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与全网准入控制系统深度无缝联用：平台原生适配全网网络准入控制系统，支持两大核心安全平台数据互通、策略联动、账号统一、权限统一、日志统一、管控闭环的深度融合，无需二次开发、无需额外对接成本、无功能冲突。网络准入系统负责终端入网前置安全校验，精准拦截非法终端、陌生设备、违规入网设备、存在安全漏洞的终端，从源头杜绝风险设备接入内网；终端安全管理硬件平台负责终端入网后的全程常态化管控、行为审计、故障运维、风险处置、合规留存，形成“入网严校验、在网严管控、违规必处置、全程可追溯”的双层闭环安全防护体系，实现终端从入网到退网的全生命周期安全治理，彻底解决终端入网无管控、在网无防护、违规无追溯的安全漏洞。</w:t>
      </w:r>
    </w:p>
    <w:p w14:paraId="59151469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全品类异构终端统一协同管控：硬件平台具备极强的终端兼容与协同管控能力，全面兼容Windows XP/7/10/11全系列系统、国产信创麒麟、统信UOS、鸿蒙桌面系统、安卓智能终端系统等全品类操作系统，可统一纳管政企办公电脑、医疗专用终端、移动查房车、自助服务终端、云桌面主机、工业控制终端、老旧低配终端、智能物联网终端等全品类终端设备。彻底解决传统管控设备兼容范围窄、信创终端适配差、老旧终端不兼容、多类型终端管控割裂的行业痛点，实现全网异构终端一体化、标准化、统一化管控，消除终端管控盲区与运维孤岛。</w:t>
      </w:r>
    </w:p>
    <w:p w14:paraId="2331C130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双模式运维协同联动：系统创新搭建WEB管理后台+终端客户端双运维模式，双端数据实时同步、操作互通、状态联动、配置共享，全方位适配不同运维场景需求。管理员可通过WEB浏览器后台，实现全网终端批量管控、全局策略配置、全域安全审计、批量故障处置、整体资产统计，适配规模化、全局化、标准化的运维场景；也可通过终端客户端进行单点精细化运维、局部故障调试、现场问题排查、个性化配置调整，适配精准化、细节化、本地化的运维场景。双模式协同运维双向提升运维便捷度与工作效率，兼顾全局管控与单点精细化运维，适配企业全场景运维需求。</w:t>
      </w:r>
    </w:p>
    <w:p w14:paraId="6D9B1EEA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1" w:name="heading_14"/>
      <w:r>
        <w:rPr>
          <w:rFonts w:hint="eastAsia" w:ascii="宋体" w:hAnsi="宋体" w:eastAsia="宋体" w:cs="宋体"/>
          <w:b/>
          <w:bCs/>
          <w:sz w:val="24"/>
          <w:szCs w:val="24"/>
        </w:rPr>
        <w:t>五、硬件安全与全维度数据冗余保障功能</w:t>
      </w:r>
      <w:bookmarkEnd w:id="1"/>
    </w:p>
    <w:p w14:paraId="52E61252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核心管控设备的运行稳定性、数据安全性、业务连续性是全网终端安全管控的底线保障，突发断电、网络波动、系统异常、人为误操作、网络攻击等各类突发情况，极易引发设备宕机、业务中断、配置错乱、数据丢失、管控失效等重大问题。本硬件平台内置多重智能自愈、数据冗余、离线防护、攻击拦截保障机制，构建全方位、多层次、闭环式的安全冗余保障体系，全方位规避设备故障、业务中断、数据丢失、非法入侵等各类风险，保障设备7×24小时不间断、高可靠运行。</w:t>
      </w:r>
    </w:p>
    <w:p w14:paraId="39504DA4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智能运行自愈引擎：设备搭载原厂自研硬件级智能自愈引擎，可实时监测网络抖动、进程异常、核心服务挂起、系统轻微过载、端口运行异常、程序卡顿等非硬件类软性故障，无需人工排查、无需手动操作，系统自动完成异常进程清理、故障服务重启、运行状态重置、网络参数校准、任务队列梳理等自愈操作，快速恢复设备正常运行状态。该自愈机制可解决90%以上的常态化软性故障，大幅减少设备故障时长、降低人工运维干预频次，实现设备自主运维、自主修复、自主稳定。</w:t>
      </w:r>
    </w:p>
    <w:p w14:paraId="51832C20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维度数据冗余备份机制：系统支持自定义周期自动备份+手动一键备份+异地备份+加密留存四重数据备份模式，可定时自动备份平台核心系统配置、全网安全策略体系、管理员角色权限、终端资产台账、全量审计日志、运维记录等所有核心数据。当遭遇突发断电、设备异常重启、人为误删除配置、系统参数错乱、程序异常等突发情况时，可一键恢复所有配置与数据，彻底杜绝核心配置错乱、运维数据丢失、安全策略失效等问题，保障系统配置稳定、数据完整、全程可追溯。</w:t>
      </w:r>
    </w:p>
    <w:p w14:paraId="2E1EBDDE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终端离线冗余持续防护：针对网络波动、网段调整、线路检修、网关故障等临时断网场景，所有终端具备断网不断管的离线冗余防护能力。终端本地缓存所有安全策略、管控规则、审计机制、权限限制，与平台断网期间，终端外设管控、上网行为管控、文件操作审计、屏幕录像、风险拦截、进程监控等所有管控功能持续生效，不会因断网出现管控失效、违规放任的问题。网络恢复正常后，终端自动批量同步离线期间所有运行数据、操作日志、异常记录、状态变动，保障全网数据完整、管控闭环、无空档期。</w:t>
      </w:r>
    </w:p>
    <w:p w14:paraId="5FC4FFCE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智能恶意行为拦截防护体系：硬件平台内置硬件级安全防护引擎，可实时监测并智能拦截暴力破解登录、非法IP访问、恶意端口扫描、越权访问操作、进程注入攻击、恶意参数篡改、批量探测攻击等各类网络攻击行为，自动触发风险IP锁定、攻击行为拦截、告警信息推送、攻击日志留存等处置动作，全方位保障管理平台登录安全、配置安全、数据安全、运行安全，筑牢全网终端管控的核心安全基座，杜绝核心设备被攻破引发的全网安全崩塌风险。</w:t>
      </w:r>
    </w:p>
    <w:p w14:paraId="470950D4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ind w:left="0" w:leftChars="0" w:firstLine="456" w:firstLineChars="19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43940D1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20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headerReference r:id="rId5" w:type="default"/>
      <w:pgSz w:w="11906" w:h="16838"/>
      <w:pgMar w:top="1984" w:right="1701" w:bottom="1417" w:left="1701" w:header="964" w:footer="992" w:gutter="0"/>
      <w:cols w:space="0" w:num="1"/>
      <w:titlePg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1B779">
    <w:pPr>
      <w:pStyle w:val="4"/>
      <w:ind w:left="0" w:leftChars="0" w:firstLine="0" w:firstLineChars="0"/>
      <w:jc w:val="both"/>
    </w:pPr>
    <w:r>
      <w:rPr>
        <w:rFonts w:hint="eastAsia" w:eastAsia="宋体"/>
        <w:lang w:eastAsia="zh-CN"/>
      </w:rPr>
      <w:drawing>
        <wp:inline distT="0" distB="0" distL="114300" distR="114300">
          <wp:extent cx="5400040" cy="367665"/>
          <wp:effectExtent l="0" t="0" r="10160" b="13335"/>
          <wp:docPr id="8" name="图片 1" descr="C:\Users\佐智\Desktop\阳途Word文档页眉页脚wwww.png阳途Word文档页眉页脚www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1" descr="C:\Users\佐智\Desktop\阳途Word文档页眉页脚wwww.png阳途Word文档页眉页脚www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367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03799"/>
    <w:rsid w:val="04903799"/>
    <w:rsid w:val="14E6675C"/>
    <w:rsid w:val="180026D3"/>
    <w:rsid w:val="20C64805"/>
    <w:rsid w:val="23E77D2E"/>
    <w:rsid w:val="26B4354F"/>
    <w:rsid w:val="2EAC5069"/>
    <w:rsid w:val="62570E42"/>
    <w:rsid w:val="68C3750C"/>
    <w:rsid w:val="71FF1D0A"/>
    <w:rsid w:val="75A3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topLinePunct/>
      <w:adjustRightInd w:val="0"/>
      <w:snapToGrid w:val="0"/>
      <w:spacing w:line="360" w:lineRule="auto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40" w:line="240" w:lineRule="auto"/>
      <w:outlineLvl w:val="0"/>
    </w:pPr>
    <w:rPr>
      <w:rFonts w:ascii="宋体" w:hAnsi="宋体" w:eastAsia="宋体"/>
      <w:b/>
      <w:bCs/>
      <w:kern w:val="44"/>
      <w:sz w:val="32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Indent 3"/>
    <w:basedOn w:val="1"/>
    <w:uiPriority w:val="0"/>
    <w:pPr>
      <w:spacing w:after="120" w:afterLines="0" w:afterAutospacing="0"/>
      <w:ind w:left="420" w:leftChars="200"/>
    </w:pPr>
    <w:rPr>
      <w:sz w:val="16"/>
    </w:rPr>
  </w:style>
  <w:style w:type="character" w:customStyle="1" w:styleId="8">
    <w:name w:val="文档标题"/>
    <w:qFormat/>
    <w:uiPriority w:val="0"/>
    <w:rPr>
      <w:b/>
      <w:bCs/>
      <w:sz w:val="56"/>
    </w:rPr>
  </w:style>
  <w:style w:type="character" w:customStyle="1" w:styleId="9">
    <w:name w:val="文档封面文字"/>
    <w:qFormat/>
    <w:uiPriority w:val="0"/>
    <w:rPr>
      <w:rFonts w:eastAsia="宋体"/>
      <w:sz w:val="21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2933</Words>
  <Characters>2999</Characters>
  <Lines>0</Lines>
  <Paragraphs>0</Paragraphs>
  <TotalTime>0</TotalTime>
  <ScaleCrop>false</ScaleCrop>
  <LinksUpToDate>false</LinksUpToDate>
  <CharactersWithSpaces>3000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2026-06-08T03:52:00Z</dcterms:created>
  <dc:creator>WPS_1669710475</dc:creator>
  <cp:lastModifiedBy>WPS_1669710475</cp:lastModifiedBy>
  <dcterms:modified xsi:type="dcterms:W3CDTF">2026-06-08T05:40:02Z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53BD91D6A2A045748DA91A9F150E178D_13</vt:lpwstr>
  </property>
  <property fmtid="{D5CDD505-2E9C-101B-9397-08002B2CF9AE}" pid="4" name="KSOTemplateDocerSaveRecord">
    <vt:lpwstr>eyJoZGlkIjoiYzBmZmEyMmVkYTBiY2VlN2EwOGZhZDc3NWJmMWFkOTQiLCJ1c2VySWQiOiIxNDQxMzcyMjc0In0=</vt:lpwstr>
  </property>
</Properties>
</file>