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F8E79">
      <w:pPr>
        <w:rPr>
          <w:rFonts w:hint="eastAsia" w:ascii="宋体" w:hAnsi="宋体" w:eastAsia="宋体" w:cs="宋体"/>
        </w:rPr>
      </w:pPr>
      <w:bookmarkStart w:id="0" w:name="heading_9"/>
    </w:p>
    <w:p w14:paraId="7611C49B">
      <w:pPr>
        <w:rPr>
          <w:rFonts w:hint="eastAsia" w:ascii="宋体" w:hAnsi="宋体" w:eastAsia="宋体" w:cs="宋体"/>
        </w:rPr>
      </w:pPr>
    </w:p>
    <w:p w14:paraId="1C2A5C80">
      <w:pPr>
        <w:jc w:val="right"/>
        <w:rPr>
          <w:rStyle w:val="8"/>
          <w:rFonts w:hint="eastAsia" w:ascii="微软雅黑" w:hAnsi="微软雅黑" w:eastAsia="微软雅黑" w:cs="微软雅黑"/>
          <w:b/>
          <w:bCs w:val="0"/>
          <w:sz w:val="52"/>
          <w:szCs w:val="52"/>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-1163955</wp:posOffset>
            </wp:positionH>
            <wp:positionV relativeFrom="page">
              <wp:posOffset>-8255</wp:posOffset>
            </wp:positionV>
            <wp:extent cx="1874520" cy="3298190"/>
            <wp:effectExtent l="0" t="0" r="11430" b="16510"/>
            <wp:wrapNone/>
            <wp:docPr id="6" name="图片 6" descr="阳途Word文档页眉页脚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阳途Word文档页眉页脚2"/>
                    <pic:cNvPicPr>
                      <a:picLocks noChangeAspect="1"/>
                    </pic:cNvPicPr>
                  </pic:nvPicPr>
                  <pic:blipFill>
                    <a:blip r:embed="rId7"/>
                    <a:stretch>
                      <a:fillRect/>
                    </a:stretch>
                  </pic:blipFill>
                  <pic:spPr>
                    <a:xfrm>
                      <a:off x="0" y="0"/>
                      <a:ext cx="1874520" cy="3298190"/>
                    </a:xfrm>
                    <a:prstGeom prst="rect">
                      <a:avLst/>
                    </a:prstGeom>
                    <a:noFill/>
                    <a:ln>
                      <a:noFill/>
                    </a:ln>
                  </pic:spPr>
                </pic:pic>
              </a:graphicData>
            </a:graphic>
          </wp:anchor>
        </w:drawing>
      </w:r>
      <w:r>
        <w:rPr>
          <w:rStyle w:val="8"/>
          <w:rFonts w:hint="eastAsia" w:ascii="微软雅黑" w:hAnsi="微软雅黑" w:eastAsia="微软雅黑" w:cs="微软雅黑"/>
          <w:b/>
          <w:bCs w:val="0"/>
          <w:sz w:val="52"/>
          <w:szCs w:val="52"/>
          <w:lang w:eastAsia="zh-CN"/>
        </w:rPr>
        <w:t>阳途终端安全管理系统</w:t>
      </w:r>
    </w:p>
    <w:p w14:paraId="21C1E1D2">
      <w:pPr>
        <w:jc w:val="right"/>
        <w:rPr>
          <w:rStyle w:val="8"/>
          <w:rFonts w:hint="eastAsia" w:ascii="微软雅黑" w:hAnsi="微软雅黑" w:eastAsia="微软雅黑" w:cs="微软雅黑"/>
          <w:b/>
          <w:bCs w:val="0"/>
          <w:sz w:val="52"/>
          <w:szCs w:val="52"/>
          <w:lang w:val="en-US" w:eastAsia="zh-CN"/>
        </w:rPr>
      </w:pPr>
      <w:r>
        <w:rPr>
          <w:rStyle w:val="8"/>
          <w:rFonts w:hint="eastAsia" w:ascii="微软雅黑" w:hAnsi="微软雅黑" w:eastAsia="微软雅黑" w:cs="微软雅黑"/>
          <w:b/>
          <w:bCs w:val="0"/>
          <w:sz w:val="52"/>
          <w:szCs w:val="52"/>
          <w:lang w:val="en-US" w:eastAsia="zh-CN"/>
        </w:rPr>
        <w:t>产品技术路线</w:t>
      </w:r>
    </w:p>
    <w:p w14:paraId="3D0D8E64">
      <w:pPr>
        <w:spacing w:line="400" w:lineRule="exact"/>
        <w:ind w:firstLine="420"/>
        <w:jc w:val="right"/>
        <w:rPr>
          <w:rStyle w:val="9"/>
          <w:rFonts w:hint="eastAsia" w:ascii="微软雅黑" w:hAnsi="微软雅黑" w:eastAsia="微软雅黑" w:cs="微软雅黑"/>
          <w:b/>
          <w:bCs/>
          <w:sz w:val="84"/>
          <w:szCs w:val="84"/>
        </w:rPr>
      </w:pPr>
    </w:p>
    <w:p w14:paraId="249BA7E7">
      <w:pPr>
        <w:spacing w:line="400" w:lineRule="exact"/>
        <w:ind w:firstLine="420"/>
        <w:jc w:val="right"/>
        <w:rPr>
          <w:rStyle w:val="9"/>
          <w:rFonts w:hint="eastAsia" w:ascii="微软雅黑" w:hAnsi="微软雅黑" w:eastAsia="微软雅黑" w:cs="微软雅黑"/>
          <w:b/>
          <w:bCs/>
          <w:sz w:val="24"/>
          <w:szCs w:val="24"/>
        </w:rPr>
      </w:pPr>
    </w:p>
    <w:p w14:paraId="17D6A961">
      <w:pPr>
        <w:wordWrap/>
        <w:spacing w:line="400" w:lineRule="exact"/>
        <w:ind w:firstLine="420"/>
        <w:jc w:val="right"/>
        <w:rPr>
          <w:rStyle w:val="9"/>
          <w:rFonts w:hint="eastAsia" w:ascii="微软雅黑" w:hAnsi="微软雅黑" w:eastAsia="微软雅黑" w:cs="微软雅黑"/>
          <w:b/>
          <w:bCs/>
          <w:sz w:val="24"/>
          <w:szCs w:val="24"/>
        </w:rPr>
      </w:pPr>
    </w:p>
    <w:p w14:paraId="63241AAF">
      <w:pPr>
        <w:spacing w:line="400" w:lineRule="exact"/>
        <w:ind w:firstLine="420"/>
        <w:jc w:val="right"/>
        <w:rPr>
          <w:rStyle w:val="9"/>
          <w:rFonts w:hint="eastAsia" w:ascii="微软雅黑" w:hAnsi="微软雅黑" w:eastAsia="微软雅黑" w:cs="微软雅黑"/>
          <w:b/>
          <w:bCs/>
          <w:color w:val="7E7E7E"/>
          <w:sz w:val="24"/>
          <w:szCs w:val="24"/>
        </w:rPr>
      </w:pPr>
    </w:p>
    <w:p w14:paraId="06271C1F">
      <w:pPr>
        <w:spacing w:line="400" w:lineRule="exact"/>
        <w:ind w:firstLine="420"/>
        <w:jc w:val="right"/>
        <w:rPr>
          <w:rStyle w:val="9"/>
          <w:rFonts w:hint="eastAsia" w:ascii="微软雅黑" w:hAnsi="微软雅黑" w:eastAsia="微软雅黑" w:cs="微软雅黑"/>
          <w:b/>
          <w:bCs/>
          <w:color w:val="7E7E7E"/>
          <w:sz w:val="24"/>
          <w:szCs w:val="24"/>
          <w:lang w:eastAsia="zh-CN"/>
        </w:rPr>
      </w:pPr>
    </w:p>
    <w:p w14:paraId="2AFC636B">
      <w:pPr>
        <w:spacing w:line="400" w:lineRule="exact"/>
        <w:ind w:firstLine="420"/>
        <w:jc w:val="right"/>
        <w:rPr>
          <w:rStyle w:val="9"/>
          <w:rFonts w:hint="eastAsia" w:ascii="微软雅黑" w:hAnsi="微软雅黑" w:eastAsia="微软雅黑" w:cs="微软雅黑"/>
          <w:b/>
          <w:bCs/>
          <w:color w:val="7E7E7E"/>
          <w:sz w:val="24"/>
          <w:szCs w:val="24"/>
        </w:rPr>
      </w:pPr>
      <w:r>
        <w:rPr>
          <w:rFonts w:hint="eastAsia" w:eastAsia="微软雅黑"/>
          <w:lang w:eastAsia="zh-CN"/>
        </w:rPr>
        <w:drawing>
          <wp:anchor distT="0" distB="0" distL="114300" distR="114300" simplePos="0" relativeHeight="251661312" behindDoc="1" locked="0" layoutInCell="1" allowOverlap="1">
            <wp:simplePos x="0" y="0"/>
            <wp:positionH relativeFrom="column">
              <wp:posOffset>2320290</wp:posOffset>
            </wp:positionH>
            <wp:positionV relativeFrom="page">
              <wp:posOffset>4283075</wp:posOffset>
            </wp:positionV>
            <wp:extent cx="985520" cy="1651635"/>
            <wp:effectExtent l="0" t="0" r="5080" b="5715"/>
            <wp:wrapNone/>
            <wp:docPr id="7" name="图片 7" descr="阳途Word文档页眉页脚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阳途Word文档页眉页脚1"/>
                    <pic:cNvPicPr>
                      <a:picLocks noChangeAspect="1"/>
                    </pic:cNvPicPr>
                  </pic:nvPicPr>
                  <pic:blipFill>
                    <a:blip r:embed="rId8"/>
                    <a:stretch>
                      <a:fillRect/>
                    </a:stretch>
                  </pic:blipFill>
                  <pic:spPr>
                    <a:xfrm>
                      <a:off x="0" y="0"/>
                      <a:ext cx="985520" cy="1651635"/>
                    </a:xfrm>
                    <a:prstGeom prst="rect">
                      <a:avLst/>
                    </a:prstGeom>
                    <a:noFill/>
                    <a:ln>
                      <a:noFill/>
                    </a:ln>
                  </pic:spPr>
                </pic:pic>
              </a:graphicData>
            </a:graphic>
          </wp:anchor>
        </w:drawing>
      </w:r>
    </w:p>
    <w:p w14:paraId="1DC9B6F4">
      <w:pPr>
        <w:spacing w:line="400" w:lineRule="exact"/>
        <w:ind w:firstLine="420"/>
        <w:jc w:val="right"/>
        <w:rPr>
          <w:rStyle w:val="9"/>
          <w:rFonts w:hint="eastAsia" w:ascii="微软雅黑" w:hAnsi="微软雅黑" w:eastAsia="微软雅黑" w:cs="微软雅黑"/>
          <w:b/>
          <w:bCs/>
          <w:color w:val="7E7E7E"/>
          <w:sz w:val="24"/>
          <w:szCs w:val="24"/>
        </w:rPr>
      </w:pPr>
    </w:p>
    <w:p w14:paraId="7159E08C">
      <w:pPr>
        <w:spacing w:line="400" w:lineRule="exact"/>
        <w:ind w:firstLine="420"/>
        <w:jc w:val="right"/>
        <w:rPr>
          <w:rStyle w:val="9"/>
          <w:rFonts w:hint="eastAsia" w:ascii="微软雅黑" w:hAnsi="微软雅黑" w:eastAsia="微软雅黑" w:cs="微软雅黑"/>
          <w:b/>
          <w:bCs/>
          <w:color w:val="7E7E7E"/>
          <w:sz w:val="24"/>
          <w:szCs w:val="24"/>
        </w:rPr>
      </w:pPr>
    </w:p>
    <w:p w14:paraId="7EB670D5">
      <w:pPr>
        <w:spacing w:line="400" w:lineRule="exact"/>
        <w:ind w:firstLine="420"/>
        <w:jc w:val="right"/>
        <w:rPr>
          <w:rStyle w:val="9"/>
          <w:rFonts w:hint="eastAsia" w:ascii="微软雅黑" w:hAnsi="微软雅黑" w:eastAsia="微软雅黑" w:cs="微软雅黑"/>
          <w:b/>
          <w:bCs/>
          <w:color w:val="7E7E7E"/>
          <w:sz w:val="24"/>
          <w:szCs w:val="24"/>
        </w:rPr>
      </w:pPr>
    </w:p>
    <w:p w14:paraId="61AD21CD">
      <w:pPr>
        <w:spacing w:line="400" w:lineRule="exact"/>
        <w:ind w:firstLine="420"/>
        <w:jc w:val="right"/>
        <w:rPr>
          <w:rStyle w:val="9"/>
          <w:rFonts w:hint="eastAsia" w:ascii="微软雅黑" w:hAnsi="微软雅黑" w:eastAsia="微软雅黑" w:cs="微软雅黑"/>
          <w:b/>
          <w:bCs/>
          <w:color w:val="7E7E7E"/>
          <w:sz w:val="24"/>
          <w:szCs w:val="24"/>
        </w:rPr>
      </w:pPr>
    </w:p>
    <w:p w14:paraId="7B534856">
      <w:pPr>
        <w:spacing w:line="400" w:lineRule="exact"/>
        <w:ind w:firstLine="420"/>
        <w:jc w:val="right"/>
        <w:rPr>
          <w:rStyle w:val="9"/>
          <w:rFonts w:hint="eastAsia" w:ascii="微软雅黑" w:hAnsi="微软雅黑" w:eastAsia="微软雅黑" w:cs="微软雅黑"/>
          <w:b/>
          <w:bCs/>
          <w:color w:val="7E7E7E"/>
          <w:sz w:val="24"/>
          <w:szCs w:val="24"/>
        </w:rPr>
      </w:pPr>
    </w:p>
    <w:p w14:paraId="6CA2715E">
      <w:pPr>
        <w:spacing w:line="400" w:lineRule="exact"/>
        <w:ind w:firstLine="420"/>
        <w:jc w:val="right"/>
        <w:rPr>
          <w:rStyle w:val="9"/>
          <w:rFonts w:hint="eastAsia" w:ascii="微软雅黑" w:hAnsi="微软雅黑" w:eastAsia="微软雅黑" w:cs="微软雅黑"/>
          <w:b/>
          <w:bCs/>
          <w:color w:val="7E7E7E"/>
          <w:sz w:val="24"/>
          <w:szCs w:val="24"/>
        </w:rPr>
      </w:pPr>
    </w:p>
    <w:p w14:paraId="3A2BAF1C">
      <w:pPr>
        <w:spacing w:line="400" w:lineRule="exact"/>
        <w:ind w:firstLine="420"/>
        <w:jc w:val="right"/>
        <w:rPr>
          <w:rStyle w:val="9"/>
          <w:rFonts w:hint="eastAsia" w:ascii="微软雅黑" w:hAnsi="微软雅黑" w:eastAsia="微软雅黑" w:cs="微软雅黑"/>
          <w:b/>
          <w:bCs/>
          <w:color w:val="7E7E7E"/>
          <w:sz w:val="24"/>
          <w:szCs w:val="24"/>
        </w:rPr>
      </w:pPr>
    </w:p>
    <w:p w14:paraId="2CAEE100">
      <w:pPr>
        <w:spacing w:line="400" w:lineRule="exact"/>
        <w:jc w:val="both"/>
        <w:rPr>
          <w:rStyle w:val="9"/>
          <w:rFonts w:hint="eastAsia" w:ascii="微软雅黑" w:hAnsi="微软雅黑" w:eastAsia="微软雅黑" w:cs="微软雅黑"/>
          <w:b/>
          <w:bCs/>
          <w:color w:val="7E7E7E"/>
          <w:sz w:val="24"/>
          <w:szCs w:val="24"/>
        </w:rPr>
      </w:pPr>
    </w:p>
    <w:p w14:paraId="20F9276B">
      <w:pPr>
        <w:spacing w:line="400" w:lineRule="exact"/>
        <w:jc w:val="both"/>
        <w:rPr>
          <w:rStyle w:val="9"/>
          <w:rFonts w:hint="eastAsia" w:ascii="微软雅黑" w:hAnsi="微软雅黑" w:eastAsia="微软雅黑" w:cs="微软雅黑"/>
          <w:b/>
          <w:bCs/>
          <w:color w:val="7E7E7E"/>
          <w:sz w:val="24"/>
          <w:szCs w:val="24"/>
        </w:rPr>
      </w:pPr>
    </w:p>
    <w:p w14:paraId="5A6DAA9F">
      <w:pPr>
        <w:spacing w:line="400" w:lineRule="exact"/>
        <w:ind w:firstLine="420"/>
        <w:jc w:val="right"/>
        <w:rPr>
          <w:rStyle w:val="9"/>
          <w:rFonts w:hint="eastAsia" w:ascii="微软雅黑" w:hAnsi="微软雅黑" w:eastAsia="微软雅黑" w:cs="微软雅黑"/>
          <w:b/>
          <w:bCs/>
          <w:color w:val="7E7E7E"/>
          <w:sz w:val="24"/>
          <w:szCs w:val="24"/>
        </w:rPr>
      </w:pPr>
    </w:p>
    <w:p w14:paraId="78492C09">
      <w:pPr>
        <w:spacing w:line="400" w:lineRule="exact"/>
        <w:ind w:firstLine="420"/>
        <w:jc w:val="right"/>
        <w:rPr>
          <w:rStyle w:val="9"/>
          <w:rFonts w:hint="eastAsia" w:ascii="微软雅黑" w:hAnsi="微软雅黑" w:eastAsia="微软雅黑" w:cs="微软雅黑"/>
          <w:b/>
          <w:bCs/>
          <w:color w:val="7E7E7E"/>
          <w:sz w:val="24"/>
          <w:szCs w:val="24"/>
        </w:rPr>
      </w:pPr>
    </w:p>
    <w:p w14:paraId="2BD9DBFC">
      <w:pPr>
        <w:spacing w:line="400" w:lineRule="exact"/>
        <w:ind w:firstLine="420"/>
        <w:jc w:val="right"/>
        <w:rPr>
          <w:rStyle w:val="9"/>
          <w:rFonts w:hint="eastAsia" w:ascii="微软雅黑" w:hAnsi="微软雅黑" w:eastAsia="微软雅黑" w:cs="微软雅黑"/>
          <w:b/>
          <w:bCs/>
          <w:color w:val="7E7E7E"/>
          <w:sz w:val="24"/>
          <w:szCs w:val="24"/>
        </w:rPr>
      </w:pPr>
    </w:p>
    <w:p w14:paraId="3892D27C">
      <w:pPr>
        <w:spacing w:line="400" w:lineRule="exact"/>
        <w:jc w:val="both"/>
        <w:rPr>
          <w:rStyle w:val="9"/>
          <w:rFonts w:hint="eastAsia" w:ascii="微软雅黑" w:hAnsi="微软雅黑" w:eastAsia="微软雅黑" w:cs="微软雅黑"/>
          <w:b/>
          <w:bCs/>
          <w:color w:val="7E7E7E"/>
          <w:sz w:val="24"/>
          <w:szCs w:val="24"/>
        </w:rPr>
      </w:pPr>
    </w:p>
    <w:p w14:paraId="2DDE5401">
      <w:pPr>
        <w:spacing w:line="400" w:lineRule="exact"/>
        <w:ind w:firstLine="420"/>
        <w:jc w:val="right"/>
        <w:rPr>
          <w:rStyle w:val="9"/>
          <w:rFonts w:hint="eastAsia" w:ascii="微软雅黑" w:hAnsi="微软雅黑" w:eastAsia="微软雅黑" w:cs="微软雅黑"/>
          <w:b/>
          <w:bCs/>
          <w:color w:val="000000"/>
          <w:sz w:val="24"/>
          <w:szCs w:val="24"/>
        </w:rPr>
      </w:pPr>
      <w:r>
        <w:rPr>
          <w:rStyle w:val="9"/>
          <w:rFonts w:hint="eastAsia" w:ascii="微软雅黑" w:hAnsi="微软雅黑" w:eastAsia="微软雅黑" w:cs="微软雅黑"/>
          <w:b/>
          <w:bCs/>
          <w:color w:val="000000"/>
          <w:sz w:val="24"/>
          <w:szCs w:val="24"/>
        </w:rPr>
        <w:t>南京市中华路420号省科创中心</w:t>
      </w:r>
      <w:r>
        <w:rPr>
          <w:rStyle w:val="9"/>
          <w:rFonts w:hint="eastAsia" w:ascii="微软雅黑" w:hAnsi="微软雅黑" w:eastAsia="微软雅黑" w:cs="微软雅黑"/>
          <w:b/>
          <w:bCs/>
          <w:color w:val="000000"/>
          <w:sz w:val="24"/>
          <w:szCs w:val="24"/>
          <w:lang w:eastAsia="zh-CN"/>
        </w:rPr>
        <w:t>六</w:t>
      </w:r>
      <w:r>
        <w:rPr>
          <w:rStyle w:val="9"/>
          <w:rFonts w:hint="eastAsia" w:ascii="微软雅黑" w:hAnsi="微软雅黑" w:eastAsia="微软雅黑" w:cs="微软雅黑"/>
          <w:b/>
          <w:bCs/>
          <w:color w:val="000000"/>
          <w:sz w:val="24"/>
          <w:szCs w:val="24"/>
        </w:rPr>
        <w:t>层</w:t>
      </w:r>
    </w:p>
    <w:p w14:paraId="5230062A">
      <w:pPr>
        <w:spacing w:line="400" w:lineRule="exact"/>
        <w:ind w:firstLine="420"/>
        <w:jc w:val="right"/>
        <w:rPr>
          <w:rStyle w:val="9"/>
          <w:rFonts w:hint="eastAsia" w:ascii="微软雅黑" w:hAnsi="微软雅黑" w:eastAsia="微软雅黑" w:cs="微软雅黑"/>
          <w:b/>
          <w:bCs/>
          <w:color w:val="000000"/>
          <w:sz w:val="24"/>
          <w:szCs w:val="24"/>
          <w:lang w:val="en-US" w:eastAsia="zh-CN"/>
        </w:rPr>
      </w:pPr>
      <w:r>
        <w:rPr>
          <w:rStyle w:val="9"/>
          <w:rFonts w:hint="eastAsia" w:ascii="微软雅黑" w:hAnsi="微软雅黑" w:eastAsia="微软雅黑" w:cs="微软雅黑"/>
          <w:b/>
          <w:bCs/>
          <w:color w:val="000000"/>
          <w:sz w:val="24"/>
          <w:szCs w:val="24"/>
        </w:rPr>
        <w:t>销售热线：400-</w:t>
      </w:r>
      <w:r>
        <w:rPr>
          <w:rStyle w:val="9"/>
          <w:rFonts w:hint="eastAsia" w:ascii="微软雅黑" w:hAnsi="微软雅黑" w:cs="微软雅黑"/>
          <w:b/>
          <w:bCs/>
          <w:color w:val="000000"/>
          <w:sz w:val="24"/>
          <w:szCs w:val="24"/>
          <w:lang w:val="en-US" w:eastAsia="zh-CN"/>
        </w:rPr>
        <w:t>015</w:t>
      </w:r>
      <w:r>
        <w:rPr>
          <w:rStyle w:val="9"/>
          <w:rFonts w:hint="eastAsia" w:ascii="微软雅黑" w:hAnsi="微软雅黑" w:eastAsia="微软雅黑" w:cs="微软雅黑"/>
          <w:b/>
          <w:bCs/>
          <w:color w:val="000000"/>
          <w:sz w:val="24"/>
          <w:szCs w:val="24"/>
        </w:rPr>
        <w:t>-</w:t>
      </w:r>
      <w:r>
        <w:rPr>
          <w:rStyle w:val="9"/>
          <w:rFonts w:hint="eastAsia" w:ascii="微软雅黑" w:hAnsi="微软雅黑" w:cs="微软雅黑"/>
          <w:b/>
          <w:bCs/>
          <w:color w:val="000000"/>
          <w:sz w:val="24"/>
          <w:szCs w:val="24"/>
          <w:lang w:val="en-US" w:eastAsia="zh-CN"/>
        </w:rPr>
        <w:t>3680</w:t>
      </w:r>
    </w:p>
    <w:p w14:paraId="2C87F22D">
      <w:pPr>
        <w:spacing w:line="400" w:lineRule="exact"/>
        <w:ind w:firstLine="420"/>
        <w:jc w:val="right"/>
        <w:rPr>
          <w:rStyle w:val="9"/>
          <w:rFonts w:hint="eastAsia" w:ascii="微软雅黑" w:hAnsi="微软雅黑" w:eastAsia="微软雅黑" w:cs="微软雅黑"/>
          <w:b/>
          <w:bCs/>
          <w:color w:val="000000"/>
          <w:sz w:val="24"/>
          <w:szCs w:val="24"/>
          <w:lang w:val="en-US" w:eastAsia="zh-CN"/>
        </w:rPr>
      </w:pPr>
      <w:r>
        <w:rPr>
          <w:rStyle w:val="9"/>
          <w:rFonts w:hint="eastAsia" w:ascii="微软雅黑" w:hAnsi="微软雅黑" w:eastAsia="微软雅黑" w:cs="微软雅黑"/>
          <w:b/>
          <w:bCs/>
          <w:color w:val="000000"/>
          <w:sz w:val="24"/>
          <w:szCs w:val="24"/>
        </w:rPr>
        <w:t>服务热线：400-</w:t>
      </w:r>
      <w:r>
        <w:rPr>
          <w:rStyle w:val="9"/>
          <w:rFonts w:hint="eastAsia" w:ascii="微软雅黑" w:hAnsi="微软雅黑" w:cs="微软雅黑"/>
          <w:b/>
          <w:bCs/>
          <w:color w:val="000000"/>
          <w:sz w:val="24"/>
          <w:szCs w:val="24"/>
          <w:lang w:val="en-US" w:eastAsia="zh-CN"/>
        </w:rPr>
        <w:t>015</w:t>
      </w:r>
      <w:r>
        <w:rPr>
          <w:rStyle w:val="9"/>
          <w:rFonts w:hint="eastAsia" w:ascii="微软雅黑" w:hAnsi="微软雅黑" w:eastAsia="微软雅黑" w:cs="微软雅黑"/>
          <w:b/>
          <w:bCs/>
          <w:color w:val="000000"/>
          <w:sz w:val="24"/>
          <w:szCs w:val="24"/>
        </w:rPr>
        <w:t>-</w:t>
      </w:r>
      <w:r>
        <w:rPr>
          <w:rStyle w:val="9"/>
          <w:rFonts w:hint="eastAsia" w:ascii="微软雅黑" w:hAnsi="微软雅黑" w:cs="微软雅黑"/>
          <w:b/>
          <w:bCs/>
          <w:color w:val="000000"/>
          <w:sz w:val="24"/>
          <w:szCs w:val="24"/>
          <w:lang w:val="en-US" w:eastAsia="zh-CN"/>
        </w:rPr>
        <w:t>3680</w:t>
      </w:r>
    </w:p>
    <w:p w14:paraId="25EA0345">
      <w:pPr>
        <w:spacing w:line="400" w:lineRule="exact"/>
        <w:jc w:val="right"/>
        <w:rPr>
          <w:rFonts w:hint="eastAsia" w:eastAsia="宋体"/>
          <w:b/>
          <w:bCs/>
          <w:color w:val="7E7E7E"/>
          <w:lang w:eastAsia="zh-CN"/>
        </w:rPr>
      </w:pPr>
      <w:r>
        <w:rPr>
          <w:rStyle w:val="9"/>
          <w:rFonts w:hint="eastAsia" w:ascii="微软雅黑" w:hAnsi="微软雅黑" w:eastAsia="微软雅黑" w:cs="微软雅黑"/>
          <w:b/>
          <w:bCs/>
          <w:color w:val="000000"/>
          <w:sz w:val="24"/>
          <w:szCs w:val="24"/>
        </w:rPr>
        <w:t>http: //www.yangtusoft.</w:t>
      </w:r>
      <w:r>
        <w:rPr>
          <w:rStyle w:val="9"/>
          <w:rFonts w:hint="eastAsia" w:ascii="微软雅黑" w:hAnsi="微软雅黑" w:cs="微软雅黑"/>
          <w:b/>
          <w:bCs/>
          <w:color w:val="000000"/>
          <w:sz w:val="24"/>
          <w:szCs w:val="24"/>
          <w:lang w:val="en-US" w:eastAsia="zh-CN"/>
        </w:rPr>
        <w:t>cn</w:t>
      </w:r>
      <w:r>
        <w:rPr>
          <w:rFonts w:hint="eastAsia" w:eastAsia="宋体"/>
          <w:b/>
          <w:bCs/>
          <w:color w:val="7E7E7E"/>
          <w:lang w:eastAsia="zh-CN"/>
        </w:rPr>
        <w:drawing>
          <wp:anchor distT="0" distB="0" distL="114300" distR="114300" simplePos="0" relativeHeight="251660288" behindDoc="1" locked="0" layoutInCell="1" allowOverlap="1">
            <wp:simplePos x="0" y="0"/>
            <wp:positionH relativeFrom="column">
              <wp:posOffset>3905250</wp:posOffset>
            </wp:positionH>
            <wp:positionV relativeFrom="page">
              <wp:posOffset>7512685</wp:posOffset>
            </wp:positionV>
            <wp:extent cx="2541905" cy="3246120"/>
            <wp:effectExtent l="0" t="0" r="10795" b="11430"/>
            <wp:wrapNone/>
            <wp:docPr id="5" name="图片 8" descr="C:\Users\佐智\Desktop\阳途Word文档页眉页脚3.png阳途Word文档页眉页脚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C:\Users\佐智\Desktop\阳途Word文档页眉页脚3.png阳途Word文档页眉页脚3"/>
                    <pic:cNvPicPr>
                      <a:picLocks noChangeAspect="1"/>
                    </pic:cNvPicPr>
                  </pic:nvPicPr>
                  <pic:blipFill>
                    <a:blip r:embed="rId9"/>
                    <a:stretch>
                      <a:fillRect/>
                    </a:stretch>
                  </pic:blipFill>
                  <pic:spPr>
                    <a:xfrm>
                      <a:off x="0" y="0"/>
                      <a:ext cx="2541905" cy="3246120"/>
                    </a:xfrm>
                    <a:prstGeom prst="rect">
                      <a:avLst/>
                    </a:prstGeom>
                    <a:noFill/>
                    <a:ln>
                      <a:noFill/>
                    </a:ln>
                  </pic:spPr>
                </pic:pic>
              </a:graphicData>
            </a:graphic>
          </wp:anchor>
        </w:drawing>
      </w:r>
    </w:p>
    <w:p w14:paraId="086CFB44">
      <w:pPr>
        <w:spacing w:line="400" w:lineRule="exact"/>
        <w:jc w:val="both"/>
        <w:rPr>
          <w:rFonts w:hint="eastAsia" w:ascii="宋体" w:hAnsi="宋体" w:eastAsia="宋体" w:cs="宋体"/>
        </w:rPr>
      </w:pPr>
      <w:r>
        <w:rPr>
          <w:rFonts w:hint="eastAsia" w:ascii="宋体" w:hAnsi="宋体" w:eastAsia="宋体" w:cs="宋体"/>
        </w:rPr>
        <w:br w:type="page"/>
      </w:r>
    </w:p>
    <w:bookmarkEnd w:id="0"/>
    <w:p w14:paraId="13ABF6E1">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方案为阳途终端安全管理系统V5.1官方核心技术路线白皮书，完整阐述产品整体技术发展路线、核心技术原理、分层技术架构、九大自主核心关键技术、核心技术优势与长期迭代保障机制。本产品技术路线立足国内政企终端安全运维行业发展趋势，贴合等保合规要求、信创国产化趋势、智能化运维发展方向，摒弃传统终端管理人工化、碎片化、被动式的落后技术模式，构建智能化、主动化、闭环化、国产化的新一代终端安全运维体系。所有核心技术均为原厂自主研发、自主可控，具备完整知识产权，技术成熟、落地案例丰富、适配场景广泛，可作为官网对外技术展示、产品宣传、技术科普的权威资料。</w:t>
      </w:r>
    </w:p>
    <w:p w14:paraId="67677DC8">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一、行业技术发展现状与痛点分析</w:t>
      </w:r>
    </w:p>
    <w:p w14:paraId="52EB78CB">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随着我国数字新基建持续推进、政企数字化转型全面落地、信创国产化替代加速深化，全网终端数量爆发式增长，终端类型从传统单一Windows办公终端，迭代为Windows、国产信创、安卓、物联网终端、工控终端多系统混合并存的复杂格局，终端运维与安全管控难度呈几何倍数提升。现阶段国内终端安全运维领域普遍存在技术模式落后、智能化程度低、管控碎片化、风险被动处置、数据无法追溯、运维成本高昂等诸多行业痛点，传统技术体系已无法适配新时代网络安全合规与数字化运维需求。</w:t>
      </w:r>
    </w:p>
    <w:p w14:paraId="06CC1C49">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传统终端管理技术普遍采用人工被动运维模式，依赖运维人员人工巡检终端、人工排查故障、人工处置风险、人工统计资产、人工整理日志，运维效率极低、人力成本高昂，且人工运维存在漏检、误检、处置不及时、记录不完整等诸多问题，无法适配大规模终端集群的常态化运维需求。同时传统管控技术采用碎片化管控模式，终端故障运维、安全防护、行为审计、资产管控相互独立、数据不通、策略不联动，形成大量运维孤岛与安全孤岛，无法形成闭环管控体系。</w:t>
      </w:r>
    </w:p>
    <w:p w14:paraId="40C3FBC2">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在安全防护层面，传统技术以事后处置、被动防御为主，仅能在违规行为、安全故障、数据泄露问题发生后进行追溯处置，无法实现事前预判、事中精准管控，风险防控能力薄弱，无法应对新型网络攻击、终端违规外联、数据私自拷贝、非法远程操控等新型安全风险。在国产化适配层面，多数传统终端管控技术基于国外通用架构研发，国产化适配度低、自主可控性差，无法满足信创国产化建设与等保安全自主可控的硬性要求。</w:t>
      </w:r>
    </w:p>
    <w:p w14:paraId="76BAF2DE">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在系统架构层面，传统产品多采用一体化固化架构、通用开源底层，存在漏洞多、稳定性差、拓展性弱、高并发能力不足等缺陷，长期运行容易出现卡顿、宕机、服务中断等问题，无法适配7×24小时不间断业务场景。基于以上全行业普遍技术痛点，阳途全新规划新一代终端安全管理系统技术路线，重构底层架构、革新核心技术、升级运维模式、优化防护体系，打造适配国内行业现状、贴合合规要求、适配信创趋势、满足智能化运维需求的自主可控新一代终端安全技术体系。</w:t>
      </w:r>
    </w:p>
    <w:p w14:paraId="2330D6ED">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二、产品整体核心技术路线概述</w:t>
      </w:r>
    </w:p>
    <w:p w14:paraId="69DA50C1">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阳途终端安全管理系统V5.1立足国内行业痛点、政策要求、发展趋势，确立“自主可控底层、分层解耦架构、AI智能赋能、全链闭环管控、安全可信运行、持续迭代优化”的核心技术路线，彻底颠覆传统终端安全产品的落后技术逻辑，完成从“人工运维、被动防御、碎片化管控”向“智能运维、主动防控、一体化闭环”的技术迭代升级。</w:t>
      </w:r>
    </w:p>
    <w:p w14:paraId="00F46647">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在底层技术层面，产品坚持100%自主可控研发路线，底层系统、核心算法、管控引擎、分析模型、加密协议均为原厂自主研发，摒弃通用开源架构、第三方依赖组件，彻底消除开源漏洞、技术后门、卡脖子风险，完全满足信创国产化、网络安全自主可控的行业硬性要求。底层架构专为终端安全管控高并发、不间断运行场景定制优化，算力调度更精准、资源利用率更高、运行稳定性更强、漏洞风险更低。</w:t>
      </w:r>
    </w:p>
    <w:p w14:paraId="70248124">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在架构设计层面，采用分层解耦、模块化独立运行的先进架构设计，各层级、各模块分工明确、联动紧密、互不干扰，支持灵活部署、按需拓展、在线迭代，彻底解决传统架构固化、拓展性差、迭代困难、高并发不稳定的缺陷，适配企业长期扩容与功能升级需求。</w:t>
      </w:r>
    </w:p>
    <w:p w14:paraId="63CFE718">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在业务能力层面，引入AI智能建模分析技术，依托千万级行业终端运维大数据构建专属智能模型，实现终端故障智能预判、风险行为精准识别、安全策略自动适配、运维工作自动处置，大幅降低人工运维依赖，提升管控智能化水平。构建“事前智能预判、事中精准管控、事后全程追溯、故障智能自愈、体系持续优化”的全闭环终端安全运维新体系，实现终端运维与安全防护的全流程自动化、智能化、精准化、合规化。</w:t>
      </w:r>
    </w:p>
    <w:p w14:paraId="057051D3">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整套技术路线经过全国数千家政企、医疗、教育、工业项目落地实战验证，可完美适配大规模终端集群高并发运行、复杂多网段网络架构、信创与非信创混合终端环境、7×24小时不间断核心业务运行场景，全面满足终端统一管控、风险主动防控、故障智能修复、行为全程审计、资产动态管理、合规自动落地的核心建设需求，同时具备极强的长期拓展能力，可持续适配未来信创升级、终端扩容、安全新规迭代、新型风险防控的发展趋势。</w:t>
      </w:r>
    </w:p>
    <w:p w14:paraId="7D9D79A9">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三、核心技术原理与六层全链路闭环机制</w:t>
      </w:r>
    </w:p>
    <w:p w14:paraId="3A86B0CD">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系统核心独创“轻量化采集-加密传输-智能研判-精准处置-自愈优化-全程追溯”的十二字全链路闭环技术原理，搭建六层联动、层层递进、闭环运行的完整技术体系，实现终端运维与安全防护全流程无死角、无断点、自动化、智能化运行，彻底解决传统产品流程断层、管控脱节、数据缺失、处置滞后的技术缺陷。</w:t>
      </w:r>
    </w:p>
    <w:p w14:paraId="30DBE3D3">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一层：终端统一接入层。依托原厂自主研发的极致轻量化客户端，实现全品类、多系统终端的统一入网认证、安全纳管、状态接入，全面兼容Windows全系列、国产信创、安卓智能终端等各类设备，接入流程极简、资源占用极低、零业务干扰。服务端基于定制嵌入式Linux精简安全系统，提供稳定、安全、高效、无漏洞的底层运行基座，彻底杜绝通用系统的冗余漏洞、资源浪费、运行不稳定等问题，为全网终端接入管控提供坚实底层支撑。</w:t>
      </w:r>
    </w:p>
    <w:p w14:paraId="01FAF1F1">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二层：无感知数据采集层。采用行业领先的非侵入式静默采集技术，不修改系统内核参数、不劫持业务运行进程、不篡改系统配置、不占用业务带宽，全程后台静默采集终端硬件运行状态、网络配置参数、系统运行日志、用户操作行为、软件安装变动、外设接入使用、文件传输操作等全维度终端数据。采集过程零卡顿、零干扰、零业务影响，完全保障医院诊疗、政务办公、工业生产、企业业务的连续性与稳定性，适配各类核心业务终端场景。</w:t>
      </w:r>
    </w:p>
    <w:p w14:paraId="4A93FD71">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三层：加密安全传输层。采用原厂私有加密传输协议+SSL加密隧道双重传输机制，构建端到端加密安全传输通道，所有终端上行采集数据、平台下发管控指令、策略配置数据、运维交互数据全部经过加密算法加密、数据校验、防篡改处理，杜绝数据传输过程中被窃取、篡改、劫持、丢包、伪造等传输风险，全方位保障全网数据传输安全可信，避免传输链路引发的安全隐患与数据风险。</w:t>
      </w:r>
    </w:p>
    <w:p w14:paraId="14E1A924">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四层：AI智能分析研判层。基于千万级政企、医疗行业终端运维大数据，自主搭建AI智能行为基线模型、故障特征识别模型、合规基线检测模型、网络风险研判模型，对实时采集的海量终端数据进行毫秒级智能分析与精准研判，可精准区分终端正常业务行为与异常风险行为，精准识别硬件过载故障、网络异常波动、终端违规外联、非法远程操控、异常文件外传、外设违规使用、系统漏洞风险等各类问题，大幅降低传统规则识别的误报率、漏报率，实现智能化、精准化、自动化的风险研判。区别于传统终端产品固定规则匹配的落后模式，本AI模型具备持续学习能力，可根据用户单位终端使用习惯、业务运行特征、日常操作基线自动迭代优化判定规则，适配不同行业、不同单位的个性化业务场景，避免通用模型一刀切导致的误拦截、漏管控问题，让风险研判更贴合实际运维场景、更精准高效。</w:t>
      </w:r>
    </w:p>
    <w:p w14:paraId="73BA57F0">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五层：精准联动处置层。依托智能研判结果，系统实现全自动分级闭环处置，针对不同等级的终端故障、安全风险、违规行为匹配对应的处置策略，无需人工干预即可自动完成全流程处置工作。对于轻微违规行为，系统自动触发弹窗告警、行为记录、合规提醒，起到警示教育作用；对于中度违规行为，自动执行权限限制、网络限流、外设禁用、网页拦截等管控操作，实时终止违规行为；对于高危入侵、病毒攻击、批量违规、数据外泄等重大安全风险，系统可一键执行终端断网隔离、进程强制终止、风险文件清除、账号锁定封禁等紧急处置动作，第一时间阻断风险扩散，守住内网安全底线。同时所有处置动作全程留痕、实时记录、同步归档，实现风险“发现-研判-处置-告警-记录”的全自动闭环，彻底解决传统产品风险处置滞后、依赖人工、处置不彻底的痛点。</w:t>
      </w:r>
    </w:p>
    <w:p w14:paraId="20A875DE">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六层：迭代追溯优化层。作为全链路闭环的最后一环，本层级承担数据归档、全程追溯、模型迭代、体系优化四大核心作用。系统将所有终端运行数据、用户操作行为、风险告警记录、故障处置日志、策略执行记录、资产变动信息进行统一加密归档存储，数据永久留存、不可篡改，完全满足等保合规、行业审计、事故追溯、责任界定的硬性要求。同时系统定期对全网运维数据、风险数据、违规数据进行大数据复盘分析，自动梳理高频故障类型、高发风险点位、薄弱管控环节、策略适配漏洞，反向迭代优化AI研判模型、安全策略库、故障特征库，实现管控体系的自我进化、持续优化，让终端安全运维能力随业务场景、网络风险、合规要求动态升级，形成永久闭环的运维安全体系。</w:t>
      </w:r>
    </w:p>
    <w:p w14:paraId="64C34C48">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四、九大自主核心关键技术深度拆解</w:t>
      </w:r>
    </w:p>
    <w:p w14:paraId="091FD899">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阳途终端安全管理系统V5.1区别于市面同质化终端管控产品，依托九大原厂自主研发核心技术构建核心竞争力，所有技术均拥有独立知识产权，无开源依赖、无技术后门、无卡脖子风险，是产品实现高稳定、高智能、高安全、高适配、高可控的核心支撑。以下对九大核心技术进行全方位、深层次技术拆解，完整展现产品核心技术壁垒与落地价值。</w:t>
      </w:r>
    </w:p>
    <w:p w14:paraId="1E14DF96">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终端轻量化无感知静默采集技术。传统终端管控软件普遍存在客户端臃肿、资源占用高、后台进程繁多、占用带宽大、导致终端办公卡顿、业务软件冲突等顽固问题，严重影响用户正常办公与业务运转。本公司自主研发的轻量化无感知静默采集技术，重构终端客户端内核架构，剔除所有冗余代码、无效进程、多余组件，客户端安装包体积大幅精简，后台常驻进程极简，CPU占用率、内存占用率、网络带宽占用率控制在极低区间。该技术采用非侵入式采集逻辑，不挂钩系统核心进程、不篡改系统注册表、不劫持业务程序、不抢占硬件资源，全程后台静默运行，在完全不影响终端性能、不干扰业务运行、无弹窗打扰的前提下，完成终端全维度数据采集、状态监测、行为审计、策略执行工作。经过多行业实测，搭载该技术的终端客户端，对办公系统、医疗系统、工业工控软件、政务业务平台等核心业务系统零冲突、零影响，完美适配7×24小时不间断核心业务终端，彻底解决管控与业务冲突的行业痛点。</w:t>
      </w:r>
    </w:p>
    <w:p w14:paraId="7EA5EDF8">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私有加密安全传输适配技术。针对传统终端管控数据传输明文传输、加密强度低、易被劫持篡改、数据传输丢失、跨网段传输不稳定等问题，本产品自研私有加密传输协议，搭配SSL高强度加密隧道，构建端到端、全链路、无死角的安全传输体系。所有终端与服务端之间的交互数据，包含状态心跳数据、操作行为数据、资产变动数据、策略指令数据、日志审计数据、运维交互数据，全部经过加密编码、密钥校验、防篡改签名、数据包完整性校验四重处理，杜绝数据传输过程中被窃取、劫持、篡改、伪造、丢包等安全问题。同时该技术针对复杂多网段、跨VLAN、VPN远程接入、内外网隔离等复杂网络场景做专属适配优化，支持跨网段稳定传输、弱网环境自适应传输、网络波动自动重连、数据包断点续传，大幅提升复杂网络环境下的数据传输稳定性与完整性，保障全网终端数据同步无遗漏、指令传输无延迟、策略执行无失效。</w:t>
      </w:r>
    </w:p>
    <w:p w14:paraId="7C6EE686">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AI智能行为基线研判技术。传统终端安全管控依赖固定规则库匹配识别风险，规则固化、灵活性差、误报漏报率高，无法适配不同单位、不同岗位、不同终端的差异化业务场景。本产品自研AI智能行为基线研判技术，基于千万级行业终端运维大数据训练专属算法模型，可自动学习全网终端的日常操作习惯、业务运行规律、网络访问基线、软件使用特征，为每一台终端、每一个用户建立专属的个性化安全基线。系统实时对比终端实时行为与常态基线数据，精准识别偏离正常业务范围的异常行为，包含非常规时间开机登录、陌生IP远程访问、批量文件外传、违规外设拷贝、陌生软件安装、高频外网访问、异常端口开放等风险行为。该技术可自动规避正常业务操作的误判干扰，风险识别精准度较传统规则模式提升90%以上，真正实现“不误报、不漏报、精准预警、靶向防控”的智能化风控效果。</w:t>
      </w:r>
    </w:p>
    <w:p w14:paraId="4E2F702C">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硬件级毫秒级策略调度技术。市面多数终端管控产品依赖软件层策略调度，受系统资源、进程优先级、网络延迟影响较大，大批量终端同时下发策略、批量更新配置时，极易出现策略堆积、下发延迟、部分终端策略失效、执行时间不一致等问题，导致全网管控标准不统一、安全防线存在空档。本产品依托专属硬件调度芯片+底层调度算法协同优化，实现硬件级毫秒级全局策略调度，彻底摆脱软件调度的性能瓶颈与延迟缺陷。系统支持千万级策略任务并行处理，可同时应对全网千级终端的批量策略下发、配置更新、规则切换、权限调整等高并发场景，策略下发成功率、执行成功率无限趋近于100%，全网终端策略同步零延迟、零偏差、零堆积，全方位保障全网终端安全管控标准统一、落地精准、执行高效。</w:t>
      </w:r>
    </w:p>
    <w:p w14:paraId="04BF7852">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模块化高解耦架构适配技术。针对传统终端产品架构固化、拓展性差、迭代困难、局部故障影响整体运行的行业缺陷，本产品自研高解耦、高内聚、可插拔模块化架构技术，将系统整体拆解为数十个独立运行的功能模块、服务组件、数据单元，各模块之间通过标准化接口联动协同，互不耦合、互不干扰、独立启停、独立升级、独立运维。任一功能模块出现异常、故障或需要迭代升级时，不会影响其他模块及系统整体运行，彻底解决传统系统“单点故障、全网瘫痪”的问题。同时该架构支持功能按需插拔、能力按需拓展、接口按需对接，可灵活适配小型单位轻量化运维、大型集团精细化管控、信创国产化改造、多平台联动集成等各类场景，适配企业不同阶段的信息化建设与安全升级需求。</w:t>
      </w:r>
    </w:p>
    <w:p w14:paraId="7B4E846E">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终端离线持续管控冗余技术。多数传统终端管控产品高度依赖网络连通性，终端断网后所有管控功能失效、审计暂停、权限放开，形成严重的安全管控空档，极易被违规人员利用漏洞进行数据拷贝、违规上网、私自安装软件等违规操作。本产品自研终端离线持续管控冗余技术，终端本地搭载独立管控引擎与本地策略缓存库，可自动缓存全网下发的所有安全策略、权限规则、审计机制、风险拦截规则。在网络中断、网段调整、网关故障、线路检修等离线场景下，终端本地管控引擎全自动接管所有管控工作</w:t>
      </w:r>
      <w:bookmarkStart w:id="4" w:name="_GoBack"/>
      <w:bookmarkEnd w:id="4"/>
      <w:r>
        <w:rPr>
          <w:rFonts w:hint="eastAsia" w:ascii="宋体" w:hAnsi="宋体" w:eastAsia="宋体" w:cs="宋体"/>
          <w:sz w:val="24"/>
          <w:szCs w:val="24"/>
        </w:rPr>
        <w:t>，外设权限管控、上网行为拦截、文件操作审计、屏幕录像留存、风险进程拦截、软件运行管控等所有核心功能持续有效、全程不中断。网络恢复后，终端自动批量同步离线期间所有操作日志、异常数据、状态变动，补齐全网数据台账，实现断网不断管、离线不脱控、数据无缺失、管控无空档的极致防护效果。</w:t>
      </w:r>
    </w:p>
    <w:p w14:paraId="273BB99A">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系统智能自愈与故障自修复技术。传统终端管控设备与系统软性故障频发，如服务挂起、进程异常、网络适配错乱、任务队列堆积、参数配置异常等，多数故障无法自动修复，必须依赖人工重启、重置、排查处置，运维工作量大、故障处置周期长、管控中断风险高。本产品自研智能自愈引擎技术，内置数百项故障特征识别规则与自动化修复逻辑，7×24小时实时监测系统服务、运行进程、网络状态、任务调度、参数配置、终端连接状态等核心指标，可精准识别各类非硬件类软性故障。针对识别到的异常故障，系统无需人工干预，自动完成异常进程查杀、故障服务重启、网络参数校准、任务队列清空、配置参数复位、连接状态修复等自愈操作，秒级恢复系统正常运行状态，可自主解决95%以上的常态化软性故障，极大降低人工运维频次与故障处置成本。</w:t>
      </w:r>
    </w:p>
    <w:p w14:paraId="27803DEB">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全维度数据防篡改合规留存技术。针对政企等保合规、行业专项审计对终端数据留存、日志追溯、数据防篡改的硬性要求，本产品自研全维度数据防篡改合规留存技术，搭建分层加密、权限隔离、防删防改、自动备份、永久追溯的合规数据存储体系。系统对终端操作日志、安全告警日志、策略执行记录、资产变动台账、屏幕录像数据、运维管理记录、账号登录日志等所有合规核心数据进行分层分类加密存储，存储分区权限严格隔离，普通管理员无权限删除、清空、篡改核心日志数据；系统自动执行周期备份、异地备份、增量留存，过期数据自动合规清理，重要数据永久归档留存；所有数据操作全程留痕、可追溯、可审计，彻底杜绝日志丢失、数据篡改、记录缺失等合规隐患，完全满足网络安全等级保护2.0、医疗、教育、政务、工业等行业专项合规审计标准。</w:t>
      </w:r>
    </w:p>
    <w:p w14:paraId="2003AD7B">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信创全场景兼容适配技术。适配国家信创国产化战略发展趋势，本产品自研信创全场景兼容适配技术，完成国产操作系统、国产硬件架构、国产芯片、国产业务系统的全方位深度适配。系统全面兼容麒麟、统信UOS、鸿蒙桌面等国产主流操作系统，适配ARM、X86、国产化CPU等多类硬件架构，兼容国产办公软件、政务业务系统、工控系统、医疗业务平台等全品类国产应用。彻底解决传统管控软件国产化适配差、运行不兼容、功能异常、策略失效、系统冲突等问题，实现信创终端与非信创终端的统一纳管、统一策略、统一审计、统一运维，助力政企单位平稳完成信创国产化改造与安全体系升级，适配国产化长期发展趋势。</w:t>
      </w:r>
    </w:p>
    <w:p w14:paraId="3932548D">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五、产品核心技术优势与行业差异化价值</w:t>
      </w:r>
    </w:p>
    <w:p w14:paraId="04A6B23A">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结合上述整体技术路线与九大自主核心技术，阳途终端安全管理系统在行业同质化产品中形成极强的技术差异化优势，彻底规避市面通用终端管控产品的技术短板与落地缺陷，从底层技术、架构能力、落地效果、合规适配、长期迭代五个维度，构建全方位领先的核心竞争力，适配全行业高端化、精细化、智能化、国产化的终端安全运维建设需求。</w:t>
      </w:r>
    </w:p>
    <w:p w14:paraId="6DF88325">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一，底层自主可控，彻底规避安全风险。市面多数终端产品依赖国外开源架构、第三方通用组件，底层存在大量未知漏洞、技术后门与安全隐患，且无自主迭代能力，无法快速响应国内安全新规与漏洞修复需求。本产品所有核心技术、底层架构、算法引擎、加密协议均为原厂100%自主研发，拥有完整自主知识产权，无开源依赖、无技术卡脖子风险、无第三方后门隐患，底层安全可控、可自主迭代、可按需优化，完全符合国家网络安全自主可控、信创国产化建设的硬性政策要求，适配党政、国企、金融、军工等高安全等级单位的建设标准。</w:t>
      </w:r>
    </w:p>
    <w:p w14:paraId="69535CC6">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二，架构分层解耦，稳定性与拓展性行业领先。传统终端产品采用一体化固化架构，功能耦合严重、容错率极低，单点故障极易引发全网服务瘫痪，且无法适配后期功能升级、终端扩容、系统对接需求。本产品分层解耦的模块化架构，实现功能独立、运行独立、故障独立、迭代独立，系统容错率大幅提升，运行稳定性远超行业同类产品；同时可按需拓展功能、对接第三方安全平台、适配终端规模扩容，适配企业3-10年长期信息化发展规划，无需频繁更换设备、重构系统，大幅降低企业长期建设成本。</w:t>
      </w:r>
    </w:p>
    <w:p w14:paraId="4B2199FF">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三，AI智能赋能，彻底革新传统运维模式。传统终端运维高度依赖人工，巡检、排查、处置、统计全靠人工操作，运维效率低下、人力成本高昂、风险处置滞后。本产品依托AI智能研判、智能自愈、智能复盘技术，实现终端故障自动检测、风险自动预警、违规自动处置、日志自动归档、报表自动生成、体系自动优化，将传统人工被动运维模式，升级为全自动、智能化、主动式运维模式，可减少90%以上的人工运维工作量，大幅降低企业运维人力成本，同时提升终端安全管控的精准度、时效性与全面性。</w:t>
      </w:r>
    </w:p>
    <w:p w14:paraId="175F47DA">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四，轻量化无感知运行，业务适配性极强。区别于传统管控软件臃肿卡顿、业务冲突、占用资源高的缺陷，本产品通过轻量化内核优化、无感知采集技术、低资源调度逻辑，实现终端客户端极致轻量化运行，对终端硬件性能、网络带宽、业务系统零影响、零冲突、零卡顿。无论是老旧低配终端、高性能办公终端、7×24小时不间断运行的核心业务终端、精密工控终端、医疗诊疗终端，均可完美适配，兼顾安全管控与业务稳定，彻底解决“重管控、轻业务”的行业通病。</w:t>
      </w:r>
    </w:p>
    <w:p w14:paraId="75D8236E">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五，全闭环合规体系，全方位满足行业审计要求。产品技术路线深度对标等保2.0及各行业专项合规标准，从数据采集、策略管控、行为审计、日志留存、风险追溯、权限管控全流程搭建合规闭环体系，所有操作、数据、记录均符合官方审计要求，无需企业额外搭建辅助系统、无需人工整理合规资料，可一键生成合规报表、审计台账，轻松应对各级主管部门的常态化安全核查与合规审计，帮助企业规避合规风险、满足政策要求。</w:t>
      </w:r>
    </w:p>
    <w:p w14:paraId="6267CD47">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六，复杂环境高适配，落地实用性突出。整套技术体系针对国内政企复杂网络环境、多终端混合场景、高低温机房工况、复杂电磁环境、多系统并存格局做专属优化，支持多网段、多VLAN、跨区域、VPN远程等复杂组网部署，兼容新旧终端、信创与非信创终端、物联网终端、工控终端全品类设备，适配各类复杂落地场景，无部署盲区、无适配短板、无运行隐患。</w:t>
      </w:r>
    </w:p>
    <w:p w14:paraId="3F1F9191">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bookmarkStart w:id="1" w:name="heading_21"/>
      <w:r>
        <w:rPr>
          <w:rFonts w:hint="eastAsia" w:ascii="宋体" w:hAnsi="宋体" w:eastAsia="宋体" w:cs="宋体"/>
          <w:b/>
          <w:bCs/>
          <w:sz w:val="24"/>
          <w:szCs w:val="24"/>
        </w:rPr>
        <w:t>六、行业技术适配逻辑与落地应用场景</w:t>
      </w:r>
      <w:bookmarkEnd w:id="1"/>
    </w:p>
    <w:p w14:paraId="26E17814">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产品技术路线并非通用化、模板化的通用技术体系，而是深度贴合国内各行业终端运维痛点、业务特征、合规要求、运行工况定制研发，针对政企政务、医疗卫生、教育科研、工业制造、园区企业、金融能源六大核心行业，形成专属的技术适配逻辑与落地场景，保障技术能力精准匹配行业实际需求，落地效果远超通用型终端管控产品。</w:t>
      </w:r>
    </w:p>
    <w:p w14:paraId="6339E93C">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政务政企行业适配：针对政务单位终端数量多、层级多、权限复杂、合规标准严苛、涉密等级高、信创改造进度快、网络监管严格的行业特征，依托自主可控底层技术、多级分权分域架构、全流程合规审计、信创全适配能力，实现政务终端统一纳管、涉密行为严格管控、操作全程可追溯、信创与非信创终端一体化治理，满足党政单位网络安全自主可控、等保合规、涉密终端安全管理的核心要求，杜绝终端泄密、违规外联、越权操作等安全风险。</w:t>
      </w:r>
    </w:p>
    <w:p w14:paraId="37CBF913">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医疗卫生行业适配：针对医院终端7×24小时不间断运行、诊疗业务零中断要求、精密设备电磁敏感、终端类型繁杂、运维人力紧缺、合规审计严格的行业痛点，依托轻量化无感知运行、电磁兼容优化、离线持续管控、智能自愈、极简运维技术，实现医疗终端零干扰管控、故障自主修复、业务零中断运行、诊疗行为全程审计，完美适配核心医疗业务系统，不影响医院正常诊疗工作，同时满足医疗行业网络安全与数据合规管理要求。</w:t>
      </w:r>
    </w:p>
    <w:p w14:paraId="763D257E">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教育科研行业适配：针对高校、中小学、科研机构终端分散、人员流动性大、违规上网行为多、软件安装杂乱、科研数据涉密、运维范围广的场景特征，依托AI智能行为研判、精细化策略管控、批量运维调度、全维度行为审计技术，实现师生终端上网行为规范、违规软件拦截、科研数据防护、机房终端批量管控、实训终端标准化治理，有效杜绝网络违规行为、数据泄露风险、病毒批量传播问题，适配校园开放式网络环境的安全管控需求。</w:t>
      </w:r>
    </w:p>
    <w:p w14:paraId="54189087">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工业制造行业适配：针对工业现场高低温温差大、粉尘多、电磁干扰强、工控终端特殊、生产业务不间断、设备老旧繁杂的严苛工况，依托高环境适配、电磁兼容抗干扰、离线持续管控、硬件高稳定架构、老旧终端适配技术，实现工业工控终端、办公终端、现场设备终端的统一管控，保障复杂工业环境下设备稳定运行、生产业务不中断、工业数据不外泄，筑牢工业互联网终端安全防线。</w:t>
      </w:r>
    </w:p>
    <w:p w14:paraId="7582F87F">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园区企业行业适配：针对产业园区、大中型企业终端数量集中、网段复杂、运维效率要求高、成本控制严格、网络风险多样的需求，依托高并发承载、模块化按需部署、智能极简运维、低成本迭代技术，实现规模化终端集群高效管控，大幅降低企业运维人力成本与设备迭代成本，兼顾安全防护、运维效率与投入性价比。</w:t>
      </w:r>
    </w:p>
    <w:p w14:paraId="0368D1F2">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金融能源行业适配：针对金融、电力、能源行业终端安全等级高、数据涉密性强、系统稳定性要求极致、零故障运行的严苛标准，依托多重冗余保障、数据防篡改加密、智能风险拦截、全程追溯、高可靠运行技术，构建高安全、高稳定、高合规的终端安全运维体系，杜绝终端故障、数据泄露、网络攻击引发的行业安全事故，保障核心金融、能源业务稳定运转。</w:t>
      </w:r>
    </w:p>
    <w:p w14:paraId="6A54A6D1">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bookmarkStart w:id="2" w:name="heading_22"/>
      <w:r>
        <w:rPr>
          <w:rFonts w:hint="eastAsia" w:ascii="宋体" w:hAnsi="宋体" w:eastAsia="宋体" w:cs="宋体"/>
          <w:b/>
          <w:bCs/>
          <w:sz w:val="24"/>
          <w:szCs w:val="24"/>
        </w:rPr>
        <w:t>七、技术迭代保障与长期发展规划</w:t>
      </w:r>
      <w:bookmarkEnd w:id="2"/>
    </w:p>
    <w:p w14:paraId="5769C452">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网络安全技术、攻击手段、合规政策、终端设备型号处于持续动态迭代过程中，一成不变的技术体系无法适配长期安全发展需求。阳途终端安全管理系统建立常态化技术迭代、常态化漏洞更新、常态化模型优化、常态化场景适配的四维长期迭代保障机制，确保产品技术能力永久适配最新安全形势、最新合规标准、最新终端场景、最新攻击手段，保障客户设备长期有效、技术持续领先、合规永久达标。</w:t>
      </w:r>
    </w:p>
    <w:p w14:paraId="5AC4F49C">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一，安全库常态化迭代更新。原厂安全研发团队7×24小时全网监测最新网络安全漏洞、新型病毒木马、新型攻击手段、高危漏洞特征，实时更新系统安全策略库、病毒防护库、风险特征库、漏洞检测库，确保新型网络风险可第一时间识别、拦截、处置，主动应对网络安全态势变化，提前封堵新型安全漏洞。</w:t>
      </w:r>
    </w:p>
    <w:p w14:paraId="54CEA6D2">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二，AI模型持续深度学习优化。依托全国数千家合作单位的终端运维大数据，持续对AI智能研判模型、故障识别模型、合规检测模型进行深度学习、迭代训练、参数优化，不断降低误报漏报率、提升风险识别精准度、拓展故障覆盖范围，让系统智能化运维能力持续升级，适配越来越复杂的终端运维场景。</w:t>
      </w:r>
    </w:p>
    <w:p w14:paraId="403E793D">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三，终端适配库持续扩容更新。针对市面不断上新的国产终端、新型工控设备、智能物联网终端、新款电脑设备，研发团队持续更新终端适配库、系统兼容库、驱动适配模块，确保所有新型终端设备可快速接入系统、完美适配管控，无新增终端管控盲区。</w:t>
      </w:r>
    </w:p>
    <w:p w14:paraId="00F5434D">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四，合规标准实时同步升级。密切跟进国家网络安全法律法规、等保标准、各行业专项合规政策的更新动态，第一时间对应调整系统管控策略、审计规则、数据留存标准、报表合规格式，确保产品功能永久符合最新行业合规要求，帮助企业持续满足政策审计标准，规避合规风险。</w:t>
      </w:r>
    </w:p>
    <w:p w14:paraId="52608B4F">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第五，产品功能持续迭代升级。结合行业运维痛点、客户实际需求、技术发展趋势，定期发布系统版本迭代更新，新增智能化运维功能、优化现有管控能力、拓展第三方对接接口、提升系统并发性能，持续丰富产品功能体系、提升产品核心竞争力，让客户无需更换硬件设备，即可永久享受最新技术、最新功能、最新合规能力。</w:t>
      </w:r>
    </w:p>
    <w:p w14:paraId="228579AA">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整套完善的技术迭代保障体系，彻底解决传统终端产品技术滞后、功能老化、合规失效、场景不适配的问题，最大化延长设备使用寿命与使用价值，为企业终端安全运维体系提供长期、稳定、可持续的技术支撑与安全保障。</w:t>
      </w:r>
    </w:p>
    <w:p w14:paraId="43D08533">
      <w:pPr>
        <w:keepNext w:val="0"/>
        <w:keepLines w:val="0"/>
        <w:pageBreakBefore w:val="0"/>
        <w:widowControl w:val="0"/>
        <w:kinsoku/>
        <w:wordWrap w:val="0"/>
        <w:overflowPunct/>
        <w:topLinePunct/>
        <w:autoSpaceDE/>
        <w:autoSpaceDN/>
        <w:bidi w:val="0"/>
        <w:adjustRightInd w:val="0"/>
        <w:snapToGrid w:val="0"/>
        <w:spacing w:before="200" w:line="360" w:lineRule="auto"/>
        <w:ind w:left="0" w:leftChars="0" w:firstLine="0" w:firstLineChars="0"/>
        <w:jc w:val="left"/>
        <w:textAlignment w:val="auto"/>
        <w:outlineLvl w:val="0"/>
        <w:rPr>
          <w:rFonts w:hint="eastAsia" w:ascii="宋体" w:hAnsi="宋体" w:eastAsia="宋体" w:cs="宋体"/>
          <w:b/>
          <w:bCs/>
          <w:sz w:val="24"/>
          <w:szCs w:val="24"/>
        </w:rPr>
      </w:pPr>
      <w:bookmarkStart w:id="3" w:name="heading_23"/>
      <w:r>
        <w:rPr>
          <w:rFonts w:hint="eastAsia" w:ascii="宋体" w:hAnsi="宋体" w:eastAsia="宋体" w:cs="宋体"/>
          <w:b/>
          <w:bCs/>
          <w:sz w:val="24"/>
          <w:szCs w:val="24"/>
        </w:rPr>
        <w:t>八、整体技术落地价值与行业赋能意义</w:t>
      </w:r>
      <w:bookmarkEnd w:id="3"/>
    </w:p>
    <w:p w14:paraId="31CB14B3">
      <w:pPr>
        <w:keepNext w:val="0"/>
        <w:keepLines w:val="0"/>
        <w:pageBreakBefore w:val="0"/>
        <w:widowControl w:val="0"/>
        <w:kinsoku/>
        <w:wordWrap w:val="0"/>
        <w:overflowPunct/>
        <w:topLinePunct/>
        <w:autoSpaceDE/>
        <w:autoSpaceDN/>
        <w:bidi w:val="0"/>
        <w:adjustRightInd w:val="0"/>
        <w:snapToGrid w:val="0"/>
        <w:spacing w:before="200"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阳途终端安全管理系统整套自主可控、智能闭环的技术体系，不仅解决了传统终端运维碎片化、被动化、人工化、高风险、高成本、低合规的行业痛点，更为全行业终端安全数字化运维转型提供了全新技术路径与落地方案。从企业落地层面，可帮助用户实现终端运维从“人工巡检、被动救火”向“智能预判、主动防控、全自动闭环”的模式升级，大幅降低运维人力成本、提升终端安全防护等级、规避网络安全风险、满足行业合规审计要求、保障核心业务稳定运行；从行业发展层面，产品依托国产化自主可控技术、智能化运维体系、全场景适配能力，助力各行业完成终端安全体系标准化、智能化、国产化升级，推动政企终端安全运维行业向高效、安全、合规、智能、自主可控的方向高质量发展，具备极高的实用落地价值与行业赋能价值。</w:t>
      </w:r>
    </w:p>
    <w:sectPr>
      <w:headerReference r:id="rId5" w:type="default"/>
      <w:pgSz w:w="11906" w:h="16838"/>
      <w:pgMar w:top="1984" w:right="1701" w:bottom="1417" w:left="1701" w:header="964"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1B779">
    <w:pPr>
      <w:pStyle w:val="4"/>
      <w:ind w:left="0" w:leftChars="0" w:firstLine="0" w:firstLineChars="0"/>
      <w:jc w:val="both"/>
    </w:pPr>
    <w:r>
      <w:rPr>
        <w:rFonts w:hint="eastAsia" w:eastAsia="宋体"/>
        <w:lang w:eastAsia="zh-CN"/>
      </w:rPr>
      <w:drawing>
        <wp:inline distT="0" distB="0" distL="114300" distR="114300">
          <wp:extent cx="5400040" cy="367665"/>
          <wp:effectExtent l="0" t="0" r="10160" b="13335"/>
          <wp:docPr id="8" name="图片 1" descr="C:\Users\佐智\Desktop\阳途Word文档页眉页脚wwww.png阳途Word文档页眉页脚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佐智\Desktop\阳途Word文档页眉页脚wwww.png阳途Word文档页眉页脚wwww"/>
                  <pic:cNvPicPr>
                    <a:picLocks noChangeAspect="1"/>
                  </pic:cNvPicPr>
                </pic:nvPicPr>
                <pic:blipFill>
                  <a:blip r:embed="rId1"/>
                  <a:stretch>
                    <a:fillRect/>
                  </a:stretch>
                </pic:blipFill>
                <pic:spPr>
                  <a:xfrm>
                    <a:off x="0" y="0"/>
                    <a:ext cx="5400040" cy="3676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03799"/>
    <w:rsid w:val="04903799"/>
    <w:rsid w:val="14E6675C"/>
    <w:rsid w:val="180026D3"/>
    <w:rsid w:val="180F3786"/>
    <w:rsid w:val="20C64805"/>
    <w:rsid w:val="23E77D2E"/>
    <w:rsid w:val="26B4354F"/>
    <w:rsid w:val="299327C4"/>
    <w:rsid w:val="2EAC5069"/>
    <w:rsid w:val="328D0A78"/>
    <w:rsid w:val="62570E42"/>
    <w:rsid w:val="71FF1D0A"/>
    <w:rsid w:val="75A36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adjustRightInd w:val="0"/>
      <w:snapToGrid w:val="0"/>
      <w:spacing w:line="360" w:lineRule="auto"/>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before="340" w:after="340" w:line="240" w:lineRule="auto"/>
      <w:outlineLvl w:val="0"/>
    </w:pPr>
    <w:rPr>
      <w:rFonts w:ascii="宋体" w:hAnsi="宋体" w:eastAsia="宋体"/>
      <w:b/>
      <w:bCs/>
      <w:kern w:val="44"/>
      <w:sz w:val="32"/>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Indent 3"/>
    <w:basedOn w:val="1"/>
    <w:uiPriority w:val="0"/>
    <w:pPr>
      <w:spacing w:after="120" w:afterLines="0" w:afterAutospacing="0"/>
      <w:ind w:left="420" w:leftChars="200"/>
    </w:pPr>
    <w:rPr>
      <w:sz w:val="16"/>
    </w:rPr>
  </w:style>
  <w:style w:type="character" w:customStyle="1" w:styleId="8">
    <w:name w:val="文档标题"/>
    <w:qFormat/>
    <w:uiPriority w:val="0"/>
    <w:rPr>
      <w:b/>
      <w:bCs/>
      <w:sz w:val="56"/>
    </w:rPr>
  </w:style>
  <w:style w:type="character" w:customStyle="1" w:styleId="9">
    <w:name w:val="文档封面文字"/>
    <w:qFormat/>
    <w:uiPriority w:val="0"/>
    <w:rPr>
      <w:rFonts w:eastAsia="宋体"/>
      <w:sz w:val="21"/>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3650</Words>
  <Characters>3758</Characters>
  <Lines>0</Lines>
  <Paragraphs>0</Paragraphs>
  <TotalTime>1</TotalTime>
  <ScaleCrop>false</ScaleCrop>
  <LinksUpToDate>false</LinksUpToDate>
  <CharactersWithSpaces>3768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2026-06-08T03:52:00Z</dcterms:created>
  <dc:creator>WPS_1669710475</dc:creator>
  <cp:lastModifiedBy>WPS_1669710475</cp:lastModifiedBy>
  <dcterms:modified xsi:type="dcterms:W3CDTF">2026-06-08T05:41:28Z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3AB67FF519C140CB9A94266745386B13_13</vt:lpwstr>
  </property>
  <property fmtid="{D5CDD505-2E9C-101B-9397-08002B2CF9AE}" pid="4" name="KSOTemplateDocerSaveRecord">
    <vt:lpwstr>eyJoZGlkIjoiYzBmZmEyMmVkYTBiY2VlN2EwOGZhZDc3NWJmMWFkOTQiLCJ1c2VySWQiOiIxNDQxMzcyMjc0In0=</vt:lpwstr>
  </property>
</Properties>
</file>